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7BD1A" w14:textId="543422C3" w:rsidR="0027220E" w:rsidRDefault="00CE5D59" w:rsidP="000C70AB">
      <w:pPr>
        <w:jc w:val="center"/>
      </w:pPr>
      <w:bookmarkStart w:id="0" w:name="_GoBack"/>
      <w:bookmarkEnd w:id="0"/>
      <w:r w:rsidRPr="00891ECD">
        <w:rPr>
          <w:noProof/>
        </w:rPr>
        <w:drawing>
          <wp:inline distT="0" distB="0" distL="0" distR="0" wp14:anchorId="728F4733" wp14:editId="7E4C67B9">
            <wp:extent cx="2235200" cy="800100"/>
            <wp:effectExtent l="0" t="0" r="0" b="0"/>
            <wp:docPr id="1" name="Picture 1" descr="C:\Users\pmw095\AppData\Local\Microsoft\Windows\INetCache\Content.Word\QM_SMD_sub brand_Web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w095\AppData\Local\Microsoft\Windows\INetCache\Content.Word\QM_SMD_sub brand_WebBlu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200" cy="800100"/>
                    </a:xfrm>
                    <a:prstGeom prst="rect">
                      <a:avLst/>
                    </a:prstGeom>
                    <a:noFill/>
                    <a:ln>
                      <a:noFill/>
                    </a:ln>
                  </pic:spPr>
                </pic:pic>
              </a:graphicData>
            </a:graphic>
          </wp:inline>
        </w:drawing>
      </w:r>
    </w:p>
    <w:p w14:paraId="56BE5421" w14:textId="77777777" w:rsidR="00C7709E" w:rsidRDefault="00C7709E" w:rsidP="004B6F70">
      <w:pPr>
        <w:rPr>
          <w:sz w:val="28"/>
          <w:szCs w:val="28"/>
        </w:rPr>
      </w:pPr>
    </w:p>
    <w:p w14:paraId="5EAE4CFA" w14:textId="3BBB1930" w:rsidR="000C70AB" w:rsidRPr="00C7709E" w:rsidRDefault="00C65B48" w:rsidP="000C70AB">
      <w:pPr>
        <w:jc w:val="center"/>
        <w:rPr>
          <w:b/>
          <w:szCs w:val="28"/>
        </w:rPr>
      </w:pPr>
      <w:r>
        <w:rPr>
          <w:b/>
          <w:szCs w:val="28"/>
        </w:rPr>
        <w:t>SMD Faculty Executive Board</w:t>
      </w:r>
      <w:r w:rsidR="00C7709E" w:rsidRPr="00C7709E">
        <w:rPr>
          <w:b/>
          <w:szCs w:val="28"/>
        </w:rPr>
        <w:br/>
        <w:t>Terms of Reference</w:t>
      </w:r>
    </w:p>
    <w:p w14:paraId="5FCC0E9A" w14:textId="77777777" w:rsidR="00151456" w:rsidRDefault="00151456" w:rsidP="000C70AB"/>
    <w:p w14:paraId="3259067C" w14:textId="66D5FCE4" w:rsidR="00C7709E" w:rsidRDefault="00490699" w:rsidP="001A50F5">
      <w:pPr>
        <w:ind w:left="2160" w:hanging="2160"/>
      </w:pPr>
      <w:r w:rsidRPr="004C71CF">
        <w:rPr>
          <w:b/>
          <w:bCs/>
        </w:rPr>
        <w:t xml:space="preserve">Summary </w:t>
      </w:r>
      <w:r w:rsidR="00C7709E" w:rsidRPr="004C71CF">
        <w:rPr>
          <w:b/>
          <w:bCs/>
        </w:rPr>
        <w:t>Remit</w:t>
      </w:r>
      <w:r w:rsidR="00D71E47">
        <w:rPr>
          <w:b/>
          <w:bCs/>
        </w:rPr>
        <w:t>:</w:t>
      </w:r>
      <w:r w:rsidR="001A50F5">
        <w:tab/>
      </w:r>
      <w:r w:rsidR="00C65B48">
        <w:rPr>
          <w:rFonts w:cs="Arial"/>
        </w:rPr>
        <w:t xml:space="preserve">To provide senior leadership in the development and implementation of the Faculty’s strategy whilst responding to strategic or policy developments within the broader organisation and assessing their impact on the Faculty’s objectives. This Board is responsible for the long-term sustainability of the Faculty, ensuring that the plans are in place to support growth. This Board oversees the day-to-day delivery of the Faculty’s activities, ensuring collective ownership and oversight of the strategy and emerging opportunities. It is intended that actions from this board, where relevant, will proceed to the Operations Board for implementation. Every quarter, this Board will host a Strategic Review Meeting to include accountable leads, and to review performance against KPIs and targets.  </w:t>
      </w:r>
    </w:p>
    <w:p w14:paraId="1C5A830A" w14:textId="77777777" w:rsidR="001A50F5" w:rsidRDefault="001A50F5" w:rsidP="001A50F5"/>
    <w:p w14:paraId="5761CEC1" w14:textId="5562091C" w:rsidR="00795DA6" w:rsidRDefault="001A50F5" w:rsidP="001A50F5">
      <w:r w:rsidRPr="004C71CF">
        <w:rPr>
          <w:b/>
          <w:bCs/>
        </w:rPr>
        <w:t>Membership</w:t>
      </w:r>
      <w:r w:rsidR="00D71E47">
        <w:rPr>
          <w:b/>
          <w:bCs/>
        </w:rPr>
        <w:t>:</w:t>
      </w:r>
      <w:r w:rsidRPr="004C71CF">
        <w:rPr>
          <w:b/>
          <w:bCs/>
        </w:rPr>
        <w:t xml:space="preserve"> </w:t>
      </w:r>
      <w:r w:rsidRPr="004C71CF">
        <w:rPr>
          <w:b/>
          <w:bCs/>
        </w:rPr>
        <w:tab/>
      </w:r>
      <w:r>
        <w:tab/>
        <w:t>VP</w:t>
      </w:r>
      <w:r w:rsidR="00344BB1">
        <w:t xml:space="preserve"> </w:t>
      </w:r>
      <w:r w:rsidR="00FD6311">
        <w:t xml:space="preserve">Health (Chair) </w:t>
      </w:r>
    </w:p>
    <w:p w14:paraId="16AE1460" w14:textId="6724B6FB" w:rsidR="00C65B48" w:rsidRDefault="00C65B48" w:rsidP="00C65B48">
      <w:pPr>
        <w:ind w:left="1440" w:firstLine="720"/>
      </w:pPr>
      <w:r>
        <w:t>Deputy VP Health</w:t>
      </w:r>
    </w:p>
    <w:p w14:paraId="43F97617" w14:textId="77777777" w:rsidR="00C65B48" w:rsidRDefault="00C65B48" w:rsidP="001A50F5">
      <w:pPr>
        <w:ind w:left="1440" w:firstLine="720"/>
      </w:pPr>
      <w:r>
        <w:t xml:space="preserve">Institute Directors </w:t>
      </w:r>
    </w:p>
    <w:p w14:paraId="5E459DD3" w14:textId="76194F05" w:rsidR="001A50F5" w:rsidRDefault="001A50F5" w:rsidP="001A50F5">
      <w:pPr>
        <w:ind w:left="1440" w:firstLine="720"/>
      </w:pPr>
      <w:r>
        <w:t>Dean for Education</w:t>
      </w:r>
    </w:p>
    <w:p w14:paraId="2D411C5B" w14:textId="6F517046" w:rsidR="00C65B48" w:rsidRDefault="00C65B48" w:rsidP="001A50F5">
      <w:pPr>
        <w:ind w:left="1440" w:firstLine="720"/>
      </w:pPr>
      <w:r>
        <w:t>Dean for Digital Education</w:t>
      </w:r>
    </w:p>
    <w:p w14:paraId="2FC48E15" w14:textId="77777777" w:rsidR="001A50F5" w:rsidRDefault="00296A99" w:rsidP="00296A99">
      <w:pPr>
        <w:ind w:left="1440" w:firstLine="720"/>
      </w:pPr>
      <w:r>
        <w:t xml:space="preserve">Dean for Research &amp; </w:t>
      </w:r>
      <w:r w:rsidR="001A50F5">
        <w:t xml:space="preserve">Research Impact </w:t>
      </w:r>
    </w:p>
    <w:p w14:paraId="228B7AB8" w14:textId="325BF63A" w:rsidR="006617F7" w:rsidRDefault="006617F7" w:rsidP="00296A99">
      <w:pPr>
        <w:ind w:left="1440" w:firstLine="720"/>
      </w:pPr>
      <w:r>
        <w:t>Dean for Global Engagement</w:t>
      </w:r>
      <w:r w:rsidR="00C65B48">
        <w:br/>
      </w:r>
      <w:r w:rsidR="00C65B48">
        <w:tab/>
        <w:t>Academic Lead for EDI</w:t>
      </w:r>
    </w:p>
    <w:p w14:paraId="5BEFBC6F" w14:textId="467A7F8B" w:rsidR="004F0828" w:rsidRDefault="00FD6311" w:rsidP="004F0828">
      <w:pPr>
        <w:ind w:left="1440" w:firstLine="720"/>
      </w:pPr>
      <w:r>
        <w:t xml:space="preserve">SMD </w:t>
      </w:r>
      <w:r w:rsidR="00C65B48">
        <w:t>Faculty Director of Operations</w:t>
      </w:r>
    </w:p>
    <w:p w14:paraId="647BCFE9" w14:textId="0D01D369" w:rsidR="00C65B48" w:rsidRDefault="00C65B48" w:rsidP="004F0828">
      <w:pPr>
        <w:ind w:left="1440" w:firstLine="720"/>
      </w:pPr>
      <w:r>
        <w:t>Director of Clinical Research</w:t>
      </w:r>
    </w:p>
    <w:p w14:paraId="171CD521" w14:textId="77777777" w:rsidR="00FD6311" w:rsidRDefault="00FD6311" w:rsidP="00C65B48">
      <w:pPr>
        <w:ind w:left="1440" w:firstLine="720"/>
      </w:pPr>
      <w:r>
        <w:t>SMD Senior Finance Partner</w:t>
      </w:r>
    </w:p>
    <w:p w14:paraId="48290E8E" w14:textId="77777777" w:rsidR="00FD6311" w:rsidRDefault="00FD6311" w:rsidP="00FD6311">
      <w:pPr>
        <w:ind w:left="1440" w:firstLine="720"/>
      </w:pPr>
      <w:r>
        <w:t xml:space="preserve">Executive Officer (Health) </w:t>
      </w:r>
    </w:p>
    <w:p w14:paraId="6A2046EF" w14:textId="77777777" w:rsidR="00FD6311" w:rsidRDefault="00FD6311" w:rsidP="001A50F5">
      <w:pPr>
        <w:ind w:left="1440" w:firstLine="720"/>
      </w:pPr>
    </w:p>
    <w:p w14:paraId="4A0CC838" w14:textId="4D65CC78" w:rsidR="00C65B48" w:rsidRDefault="002A3B9C" w:rsidP="00C65B48">
      <w:pPr>
        <w:ind w:left="2160" w:hanging="2160"/>
      </w:pPr>
      <w:r w:rsidRPr="004C71CF">
        <w:rPr>
          <w:b/>
          <w:bCs/>
        </w:rPr>
        <w:t>In attendance</w:t>
      </w:r>
      <w:r w:rsidR="00D71E47">
        <w:rPr>
          <w:b/>
          <w:bCs/>
        </w:rPr>
        <w:t>:</w:t>
      </w:r>
      <w:r>
        <w:t xml:space="preserve">  </w:t>
      </w:r>
      <w:r>
        <w:tab/>
      </w:r>
      <w:r w:rsidR="00C65B48">
        <w:t xml:space="preserve">Deputy Institute Directors, Deputy Institute Directors, and Academic Leads as required for deputising and reporting. </w:t>
      </w:r>
    </w:p>
    <w:p w14:paraId="184E29D3" w14:textId="77777777" w:rsidR="001A50F5" w:rsidRDefault="001A50F5" w:rsidP="000C70AB"/>
    <w:p w14:paraId="3E404769" w14:textId="7E525FE0" w:rsidR="0031791E" w:rsidRPr="0031791E" w:rsidRDefault="0031791E" w:rsidP="000C70AB">
      <w:r>
        <w:rPr>
          <w:b/>
          <w:bCs/>
        </w:rPr>
        <w:t>Risk Ownership:</w:t>
      </w:r>
      <w:r>
        <w:rPr>
          <w:b/>
          <w:bCs/>
        </w:rPr>
        <w:tab/>
      </w:r>
      <w:r>
        <w:t>Overall accountability for SMD Risk Register</w:t>
      </w:r>
    </w:p>
    <w:p w14:paraId="029DBDD1" w14:textId="77777777" w:rsidR="0031791E" w:rsidRDefault="0031791E" w:rsidP="000C70AB">
      <w:pPr>
        <w:rPr>
          <w:b/>
          <w:bCs/>
        </w:rPr>
      </w:pPr>
    </w:p>
    <w:p w14:paraId="7DF4D1FF" w14:textId="0EA3D573" w:rsidR="00D71E47" w:rsidRPr="00D71E47" w:rsidRDefault="00D71E47" w:rsidP="000C70AB">
      <w:r>
        <w:rPr>
          <w:b/>
          <w:bCs/>
        </w:rPr>
        <w:t>Meeting frequency:</w:t>
      </w:r>
      <w:r>
        <w:rPr>
          <w:b/>
          <w:bCs/>
        </w:rPr>
        <w:tab/>
      </w:r>
      <w:r>
        <w:t>Every 2 weeks</w:t>
      </w:r>
      <w:r>
        <w:rPr>
          <w:b/>
          <w:bCs/>
        </w:rPr>
        <w:tab/>
      </w:r>
    </w:p>
    <w:p w14:paraId="2711DAB8" w14:textId="77777777" w:rsidR="00D71E47" w:rsidRDefault="00D71E47" w:rsidP="000C70AB">
      <w:pPr>
        <w:rPr>
          <w:b/>
          <w:bCs/>
        </w:rPr>
      </w:pPr>
    </w:p>
    <w:p w14:paraId="4AE5D98E" w14:textId="09EEE48B" w:rsidR="00B65A3F" w:rsidRPr="00B65A3F" w:rsidRDefault="00B65A3F" w:rsidP="000C70AB">
      <w:r>
        <w:rPr>
          <w:b/>
          <w:bCs/>
        </w:rPr>
        <w:t xml:space="preserve">Board Management: </w:t>
      </w:r>
      <w:r>
        <w:t>SMD Head of Strategic Development/Executive Officer (Health)</w:t>
      </w:r>
    </w:p>
    <w:p w14:paraId="6F4C0E4D" w14:textId="77777777" w:rsidR="00B65A3F" w:rsidRDefault="00B65A3F" w:rsidP="000C70AB">
      <w:pPr>
        <w:rPr>
          <w:b/>
          <w:bCs/>
        </w:rPr>
      </w:pPr>
    </w:p>
    <w:p w14:paraId="09A752B5" w14:textId="02D1EFB6" w:rsidR="00151456" w:rsidRDefault="00151456" w:rsidP="000C70AB">
      <w:r w:rsidRPr="004C71CF">
        <w:rPr>
          <w:b/>
          <w:bCs/>
        </w:rPr>
        <w:t>Report</w:t>
      </w:r>
      <w:r w:rsidR="00C65B48">
        <w:rPr>
          <w:b/>
          <w:bCs/>
        </w:rPr>
        <w:t>s into:</w:t>
      </w:r>
      <w:r>
        <w:tab/>
      </w:r>
      <w:r w:rsidR="004C71CF">
        <w:t>QM Senior Executive Team</w:t>
      </w:r>
    </w:p>
    <w:p w14:paraId="5D7044E1" w14:textId="61CFFAB5" w:rsidR="00B65A3F" w:rsidRDefault="00B65A3F" w:rsidP="000C70AB">
      <w:pPr>
        <w:rPr>
          <w:b/>
          <w:bCs/>
        </w:rPr>
      </w:pPr>
    </w:p>
    <w:p w14:paraId="276B87FA" w14:textId="3AB8C527" w:rsidR="00C65B48" w:rsidRDefault="00C65B48" w:rsidP="000C70AB">
      <w:r w:rsidRPr="00C65B48">
        <w:rPr>
          <w:b/>
          <w:bCs/>
        </w:rPr>
        <w:t>Feeder Committees:</w:t>
      </w:r>
      <w:r>
        <w:rPr>
          <w:b/>
          <w:bCs/>
        </w:rPr>
        <w:tab/>
      </w:r>
      <w:r>
        <w:t>SMD Faculty Operations Board</w:t>
      </w:r>
    </w:p>
    <w:p w14:paraId="650EAF49" w14:textId="262533CF" w:rsidR="00C65B48" w:rsidRDefault="00C65B48" w:rsidP="000C70AB">
      <w:r>
        <w:tab/>
      </w:r>
      <w:r>
        <w:tab/>
      </w:r>
      <w:r>
        <w:tab/>
        <w:t>SMD Strategic Recruitment Board</w:t>
      </w:r>
    </w:p>
    <w:p w14:paraId="7C41485D" w14:textId="15341EBF" w:rsidR="00C65B48" w:rsidRDefault="00C65B48" w:rsidP="000C70AB">
      <w:r>
        <w:tab/>
      </w:r>
      <w:r>
        <w:tab/>
      </w:r>
      <w:r>
        <w:tab/>
        <w:t>SMD EDI Committee</w:t>
      </w:r>
    </w:p>
    <w:p w14:paraId="24371417" w14:textId="77777777" w:rsidR="00C65B48" w:rsidRDefault="00C65B48" w:rsidP="000C70AB">
      <w:r>
        <w:tab/>
      </w:r>
      <w:r>
        <w:tab/>
      </w:r>
      <w:r>
        <w:tab/>
        <w:t>SMD Education Strategy Board</w:t>
      </w:r>
    </w:p>
    <w:p w14:paraId="28837704" w14:textId="7C9A4310" w:rsidR="00C65B48" w:rsidRPr="00C65B48" w:rsidRDefault="00C65B48" w:rsidP="000C70AB">
      <w:pPr>
        <w:rPr>
          <w:b/>
          <w:bCs/>
        </w:rPr>
      </w:pPr>
      <w:r>
        <w:tab/>
      </w:r>
      <w:r>
        <w:tab/>
      </w:r>
      <w:r>
        <w:tab/>
        <w:t>SMD Research Strategy Board</w:t>
      </w:r>
      <w:r w:rsidR="005F1A9A">
        <w:br/>
      </w:r>
      <w:r w:rsidR="005F1A9A">
        <w:tab/>
      </w:r>
      <w:r w:rsidR="005F1A9A">
        <w:tab/>
      </w:r>
      <w:r w:rsidR="005F1A9A">
        <w:tab/>
        <w:t>QM Life Sciences Board</w:t>
      </w:r>
      <w:r w:rsidRPr="00C65B48">
        <w:rPr>
          <w:b/>
          <w:bCs/>
        </w:rPr>
        <w:tab/>
      </w:r>
    </w:p>
    <w:p w14:paraId="731C8F11" w14:textId="77777777" w:rsidR="00FD6311" w:rsidRDefault="00FD6311" w:rsidP="00F865B9"/>
    <w:p w14:paraId="29A96A8D" w14:textId="77777777" w:rsidR="00490699" w:rsidRDefault="00490699" w:rsidP="000C70AB"/>
    <w:p w14:paraId="636961F0" w14:textId="77777777" w:rsidR="00151456" w:rsidRPr="00D71E47" w:rsidRDefault="00490699" w:rsidP="000C70AB">
      <w:pPr>
        <w:rPr>
          <w:b/>
          <w:bCs/>
        </w:rPr>
      </w:pPr>
      <w:r w:rsidRPr="00D71E47">
        <w:rPr>
          <w:b/>
          <w:bCs/>
        </w:rPr>
        <w:t>Remit</w:t>
      </w:r>
      <w:r w:rsidR="005A7E00" w:rsidRPr="00D71E47">
        <w:rPr>
          <w:b/>
          <w:bCs/>
        </w:rPr>
        <w:tab/>
      </w:r>
      <w:r w:rsidR="005A7E00" w:rsidRPr="00D71E47">
        <w:rPr>
          <w:b/>
          <w:bCs/>
        </w:rPr>
        <w:tab/>
      </w:r>
      <w:r w:rsidR="005A7E00" w:rsidRPr="00D71E47">
        <w:rPr>
          <w:b/>
          <w:bCs/>
        </w:rPr>
        <w:tab/>
      </w:r>
    </w:p>
    <w:p w14:paraId="5CDF0F4D" w14:textId="3D1B8947" w:rsidR="00FD6ABA" w:rsidRDefault="005F1A9A" w:rsidP="00FD6ABA">
      <w:pPr>
        <w:numPr>
          <w:ilvl w:val="0"/>
          <w:numId w:val="13"/>
        </w:numPr>
      </w:pPr>
      <w:r>
        <w:lastRenderedPageBreak/>
        <w:t>To determine the long-term planning for the Faculty as it relates to staff and workplace culture, infrastructure, research and education growth, and strategic partnerships;</w:t>
      </w:r>
    </w:p>
    <w:p w14:paraId="646E4481" w14:textId="66C73F7C" w:rsidR="00B12EE5" w:rsidRDefault="00B12EE5" w:rsidP="00FD6ABA">
      <w:pPr>
        <w:numPr>
          <w:ilvl w:val="0"/>
          <w:numId w:val="13"/>
        </w:numPr>
      </w:pPr>
      <w:r>
        <w:t>To lead through, and model, inclusive governance, ensuring that</w:t>
      </w:r>
      <w:r w:rsidR="00BB5C6E">
        <w:t xml:space="preserve"> the Faculty’s strategy, its</w:t>
      </w:r>
      <w:r>
        <w:t xml:space="preserve"> processes</w:t>
      </w:r>
      <w:r w:rsidR="00BB5C6E">
        <w:t xml:space="preserve"> and </w:t>
      </w:r>
      <w:r>
        <w:t xml:space="preserve">policies, and </w:t>
      </w:r>
      <w:r w:rsidR="00BB5C6E">
        <w:t>its culture uphold the principles of equity and equality;</w:t>
      </w:r>
    </w:p>
    <w:p w14:paraId="0DFEC752" w14:textId="77777777" w:rsidR="00D71E47" w:rsidRDefault="00D71E47" w:rsidP="00D71E47">
      <w:pPr>
        <w:numPr>
          <w:ilvl w:val="0"/>
          <w:numId w:val="13"/>
        </w:numPr>
      </w:pPr>
      <w:r>
        <w:t>To develop and coordinate the Faculty’s top-level strategy, student recruitment, financial, resource, and infrastructure planning as part of the annual budget review process;</w:t>
      </w:r>
    </w:p>
    <w:p w14:paraId="157FA437" w14:textId="0D09650B" w:rsidR="00D71E47" w:rsidRDefault="00D71E47" w:rsidP="00FD6ABA">
      <w:pPr>
        <w:numPr>
          <w:ilvl w:val="0"/>
          <w:numId w:val="13"/>
        </w:numPr>
      </w:pPr>
      <w:r>
        <w:t>To monitor the delivery of the Faculty’s Strategic Operational Plan, ensuring projects and commitments are delivered to time and to target, and setting out remedial actions in response to emerging risks;</w:t>
      </w:r>
    </w:p>
    <w:p w14:paraId="3C761E41" w14:textId="52BA4E57" w:rsidR="00D71E47" w:rsidRDefault="00D71E47" w:rsidP="00FD6ABA">
      <w:pPr>
        <w:numPr>
          <w:ilvl w:val="0"/>
          <w:numId w:val="13"/>
        </w:numPr>
      </w:pPr>
      <w:r>
        <w:t xml:space="preserve">To have management oversight of the Faculty’s Risk Register, ensuring that risks are appropriately owned, managed, and mitigated; </w:t>
      </w:r>
    </w:p>
    <w:p w14:paraId="5B37C383" w14:textId="5E4AD697" w:rsidR="00DB4CDD" w:rsidRDefault="00DB4CDD" w:rsidP="00FD6ABA">
      <w:pPr>
        <w:numPr>
          <w:ilvl w:val="0"/>
          <w:numId w:val="13"/>
        </w:numPr>
      </w:pPr>
      <w:r>
        <w:t>To routinely monitor progress on the delivery of the strategy</w:t>
      </w:r>
      <w:r w:rsidR="005F1A9A">
        <w:t>, receiving regular updates from academic leads, feeder committees, and data reports;</w:t>
      </w:r>
    </w:p>
    <w:p w14:paraId="21425AAE" w14:textId="77777777" w:rsidR="00DB4CDD" w:rsidRDefault="00DB4CDD" w:rsidP="00DB4CDD">
      <w:pPr>
        <w:ind w:left="720"/>
      </w:pPr>
    </w:p>
    <w:p w14:paraId="099D79F7" w14:textId="77777777" w:rsidR="008B19D9" w:rsidRDefault="008B19D9" w:rsidP="00D5583E">
      <w:pPr>
        <w:jc w:val="both"/>
      </w:pPr>
    </w:p>
    <w:p w14:paraId="795CA768" w14:textId="13EEAD49" w:rsidR="00D5583E" w:rsidRPr="00C7709E" w:rsidRDefault="00C7709E" w:rsidP="00611078">
      <w:pPr>
        <w:rPr>
          <w:b/>
        </w:rPr>
      </w:pPr>
      <w:r w:rsidRPr="00C7709E">
        <w:rPr>
          <w:b/>
        </w:rPr>
        <w:t>Schedule for Review:</w:t>
      </w:r>
      <w:r w:rsidR="00C65B48">
        <w:rPr>
          <w:b/>
        </w:rPr>
        <w:t xml:space="preserve"> September</w:t>
      </w:r>
      <w:r w:rsidR="004C71CF">
        <w:rPr>
          <w:b/>
        </w:rPr>
        <w:t xml:space="preserve"> 2023</w:t>
      </w:r>
    </w:p>
    <w:sectPr w:rsidR="00D5583E" w:rsidRPr="00C7709E" w:rsidSect="00D5583E">
      <w:footerReference w:type="defaul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8485E" w14:textId="77777777" w:rsidR="009A6328" w:rsidRDefault="009A6328" w:rsidP="004C1A67">
      <w:r>
        <w:separator/>
      </w:r>
    </w:p>
  </w:endnote>
  <w:endnote w:type="continuationSeparator" w:id="0">
    <w:p w14:paraId="6A03F147" w14:textId="77777777" w:rsidR="009A6328" w:rsidRDefault="009A6328" w:rsidP="004C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C33DA" w14:textId="37CE54DA" w:rsidR="00C7709E" w:rsidRDefault="004C71CF">
    <w:pPr>
      <w:pStyle w:val="Footer"/>
    </w:pPr>
    <w:r>
      <w:t>Version</w:t>
    </w:r>
    <w:r w:rsidR="005F1A9A">
      <w:t>:</w:t>
    </w:r>
    <w:r>
      <w:t xml:space="preserve"> </w:t>
    </w:r>
    <w:r w:rsidR="005F1A9A">
      <w:t>27</w:t>
    </w:r>
    <w:r w:rsidR="005F1A9A" w:rsidRPr="005F1A9A">
      <w:rPr>
        <w:vertAlign w:val="superscript"/>
      </w:rPr>
      <w:t>th</w:t>
    </w:r>
    <w:r w:rsidR="005F1A9A">
      <w:t xml:space="preserve"> September</w:t>
    </w:r>
    <w: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B6AA2" w14:textId="77777777" w:rsidR="009A6328" w:rsidRDefault="009A6328" w:rsidP="004C1A67">
      <w:r>
        <w:separator/>
      </w:r>
    </w:p>
  </w:footnote>
  <w:footnote w:type="continuationSeparator" w:id="0">
    <w:p w14:paraId="4BC01514" w14:textId="77777777" w:rsidR="009A6328" w:rsidRDefault="009A6328" w:rsidP="004C1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27087"/>
    <w:multiLevelType w:val="hybridMultilevel"/>
    <w:tmpl w:val="67A6C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D3F75"/>
    <w:multiLevelType w:val="hybridMultilevel"/>
    <w:tmpl w:val="5F9672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67C5F05"/>
    <w:multiLevelType w:val="hybridMultilevel"/>
    <w:tmpl w:val="BA4A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8A170F"/>
    <w:multiLevelType w:val="hybridMultilevel"/>
    <w:tmpl w:val="DE8E9652"/>
    <w:lvl w:ilvl="0" w:tplc="63DEB524">
      <w:numFmt w:val="bullet"/>
      <w:lvlText w:val=""/>
      <w:lvlJc w:val="left"/>
      <w:pPr>
        <w:ind w:left="720" w:hanging="360"/>
      </w:pPr>
      <w:rPr>
        <w:rFonts w:ascii="SymbolMT" w:eastAsia="SymbolMT" w:hAnsi="Calibri"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4093A"/>
    <w:multiLevelType w:val="hybridMultilevel"/>
    <w:tmpl w:val="6848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814A7C"/>
    <w:multiLevelType w:val="hybridMultilevel"/>
    <w:tmpl w:val="5350BF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A94413C"/>
    <w:multiLevelType w:val="hybridMultilevel"/>
    <w:tmpl w:val="C22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6E0016"/>
    <w:multiLevelType w:val="hybridMultilevel"/>
    <w:tmpl w:val="CFA210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45558B"/>
    <w:multiLevelType w:val="hybridMultilevel"/>
    <w:tmpl w:val="3906EE42"/>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54A51584"/>
    <w:multiLevelType w:val="hybridMultilevel"/>
    <w:tmpl w:val="5F721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9455B1"/>
    <w:multiLevelType w:val="hybridMultilevel"/>
    <w:tmpl w:val="81AE8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FB3154"/>
    <w:multiLevelType w:val="hybridMultilevel"/>
    <w:tmpl w:val="30E29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9237AFA"/>
    <w:multiLevelType w:val="hybridMultilevel"/>
    <w:tmpl w:val="5D920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3"/>
  </w:num>
  <w:num w:numId="4">
    <w:abstractNumId w:val="4"/>
  </w:num>
  <w:num w:numId="5">
    <w:abstractNumId w:val="5"/>
  </w:num>
  <w:num w:numId="6">
    <w:abstractNumId w:val="6"/>
  </w:num>
  <w:num w:numId="7">
    <w:abstractNumId w:val="1"/>
  </w:num>
  <w:num w:numId="8">
    <w:abstractNumId w:val="11"/>
  </w:num>
  <w:num w:numId="9">
    <w:abstractNumId w:val="12"/>
  </w:num>
  <w:num w:numId="10">
    <w:abstractNumId w:val="10"/>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0AB"/>
    <w:rsid w:val="00000D5D"/>
    <w:rsid w:val="000C572A"/>
    <w:rsid w:val="000C70AB"/>
    <w:rsid w:val="000F0DC9"/>
    <w:rsid w:val="00151456"/>
    <w:rsid w:val="001A50F5"/>
    <w:rsid w:val="001A6C3B"/>
    <w:rsid w:val="001B440E"/>
    <w:rsid w:val="00202966"/>
    <w:rsid w:val="00226EB5"/>
    <w:rsid w:val="002316CF"/>
    <w:rsid w:val="0025452A"/>
    <w:rsid w:val="002554E6"/>
    <w:rsid w:val="0027220E"/>
    <w:rsid w:val="00291BB1"/>
    <w:rsid w:val="00296A99"/>
    <w:rsid w:val="002A3B9C"/>
    <w:rsid w:val="002A75A8"/>
    <w:rsid w:val="0031791E"/>
    <w:rsid w:val="00321F48"/>
    <w:rsid w:val="003369EA"/>
    <w:rsid w:val="00344BB1"/>
    <w:rsid w:val="00461D47"/>
    <w:rsid w:val="00484549"/>
    <w:rsid w:val="00490699"/>
    <w:rsid w:val="004B6F70"/>
    <w:rsid w:val="004C1A67"/>
    <w:rsid w:val="004C71CF"/>
    <w:rsid w:val="004F0828"/>
    <w:rsid w:val="00524B5B"/>
    <w:rsid w:val="0053339D"/>
    <w:rsid w:val="005974E9"/>
    <w:rsid w:val="005A0A39"/>
    <w:rsid w:val="005A7E00"/>
    <w:rsid w:val="005D4463"/>
    <w:rsid w:val="005F1A9A"/>
    <w:rsid w:val="0060256D"/>
    <w:rsid w:val="00604A7E"/>
    <w:rsid w:val="00611078"/>
    <w:rsid w:val="00611359"/>
    <w:rsid w:val="006617F7"/>
    <w:rsid w:val="00690EA8"/>
    <w:rsid w:val="006F32A6"/>
    <w:rsid w:val="00717F36"/>
    <w:rsid w:val="00754F28"/>
    <w:rsid w:val="00795DA6"/>
    <w:rsid w:val="007B4045"/>
    <w:rsid w:val="007E5B4C"/>
    <w:rsid w:val="007F49D2"/>
    <w:rsid w:val="00813C40"/>
    <w:rsid w:val="00867F1A"/>
    <w:rsid w:val="008B19D9"/>
    <w:rsid w:val="008B4AF0"/>
    <w:rsid w:val="008E16EE"/>
    <w:rsid w:val="00922164"/>
    <w:rsid w:val="009333E3"/>
    <w:rsid w:val="00973F50"/>
    <w:rsid w:val="009A6328"/>
    <w:rsid w:val="009D3012"/>
    <w:rsid w:val="00A72507"/>
    <w:rsid w:val="00A77F32"/>
    <w:rsid w:val="00A82B0C"/>
    <w:rsid w:val="00AC448B"/>
    <w:rsid w:val="00B12EE5"/>
    <w:rsid w:val="00B43B13"/>
    <w:rsid w:val="00B65A3F"/>
    <w:rsid w:val="00B76142"/>
    <w:rsid w:val="00B8578F"/>
    <w:rsid w:val="00BB5C6E"/>
    <w:rsid w:val="00BD3EDE"/>
    <w:rsid w:val="00C65B48"/>
    <w:rsid w:val="00C7709E"/>
    <w:rsid w:val="00C9651A"/>
    <w:rsid w:val="00CE5D59"/>
    <w:rsid w:val="00D34076"/>
    <w:rsid w:val="00D5583E"/>
    <w:rsid w:val="00D663A4"/>
    <w:rsid w:val="00D71E47"/>
    <w:rsid w:val="00D74214"/>
    <w:rsid w:val="00DB4CDD"/>
    <w:rsid w:val="00DE3B9D"/>
    <w:rsid w:val="00E26210"/>
    <w:rsid w:val="00E26A48"/>
    <w:rsid w:val="00E73592"/>
    <w:rsid w:val="00EE09E0"/>
    <w:rsid w:val="00F865B9"/>
    <w:rsid w:val="00F94C9E"/>
    <w:rsid w:val="00FD6311"/>
    <w:rsid w:val="00FD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C9F5"/>
  <w15:chartTrackingRefBased/>
  <w15:docId w15:val="{5B75FB35-CC17-478B-918C-3F7036F2B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39"/>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A67"/>
    <w:pPr>
      <w:tabs>
        <w:tab w:val="center" w:pos="4513"/>
        <w:tab w:val="right" w:pos="9026"/>
      </w:tabs>
    </w:pPr>
  </w:style>
  <w:style w:type="character" w:customStyle="1" w:styleId="HeaderChar">
    <w:name w:val="Header Char"/>
    <w:link w:val="Header"/>
    <w:uiPriority w:val="99"/>
    <w:rsid w:val="004C1A67"/>
    <w:rPr>
      <w:sz w:val="22"/>
      <w:szCs w:val="22"/>
    </w:rPr>
  </w:style>
  <w:style w:type="paragraph" w:styleId="Footer">
    <w:name w:val="footer"/>
    <w:basedOn w:val="Normal"/>
    <w:link w:val="FooterChar"/>
    <w:uiPriority w:val="99"/>
    <w:unhideWhenUsed/>
    <w:rsid w:val="004C1A67"/>
    <w:pPr>
      <w:tabs>
        <w:tab w:val="center" w:pos="4513"/>
        <w:tab w:val="right" w:pos="9026"/>
      </w:tabs>
    </w:pPr>
  </w:style>
  <w:style w:type="character" w:customStyle="1" w:styleId="FooterChar">
    <w:name w:val="Footer Char"/>
    <w:link w:val="Footer"/>
    <w:uiPriority w:val="99"/>
    <w:rsid w:val="004C1A67"/>
    <w:rPr>
      <w:sz w:val="22"/>
      <w:szCs w:val="22"/>
    </w:rPr>
  </w:style>
  <w:style w:type="paragraph" w:styleId="BalloonText">
    <w:name w:val="Balloon Text"/>
    <w:basedOn w:val="Normal"/>
    <w:link w:val="BalloonTextChar"/>
    <w:uiPriority w:val="99"/>
    <w:semiHidden/>
    <w:unhideWhenUsed/>
    <w:rsid w:val="00202966"/>
    <w:rPr>
      <w:rFonts w:ascii="Tahoma" w:hAnsi="Tahoma" w:cs="Tahoma"/>
      <w:sz w:val="16"/>
      <w:szCs w:val="16"/>
    </w:rPr>
  </w:style>
  <w:style w:type="character" w:customStyle="1" w:styleId="BalloonTextChar">
    <w:name w:val="Balloon Text Char"/>
    <w:link w:val="BalloonText"/>
    <w:uiPriority w:val="99"/>
    <w:semiHidden/>
    <w:rsid w:val="00202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6562">
      <w:bodyDiv w:val="1"/>
      <w:marLeft w:val="0"/>
      <w:marRight w:val="0"/>
      <w:marTop w:val="0"/>
      <w:marBottom w:val="0"/>
      <w:divBdr>
        <w:top w:val="none" w:sz="0" w:space="0" w:color="auto"/>
        <w:left w:val="none" w:sz="0" w:space="0" w:color="auto"/>
        <w:bottom w:val="none" w:sz="0" w:space="0" w:color="auto"/>
        <w:right w:val="none" w:sz="0" w:space="0" w:color="auto"/>
      </w:divBdr>
    </w:div>
    <w:div w:id="4788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0293B847B894989892D174729E62A" ma:contentTypeVersion="13" ma:contentTypeDescription="Create a new document." ma:contentTypeScope="" ma:versionID="1a1185095207a669b88b35d049cbcd8e">
  <xsd:schema xmlns:xsd="http://www.w3.org/2001/XMLSchema" xmlns:xs="http://www.w3.org/2001/XMLSchema" xmlns:p="http://schemas.microsoft.com/office/2006/metadata/properties" xmlns:ns3="2a46edd2-a00f-4e4f-8bf5-56bbc6af714a" xmlns:ns4="5ee9160e-9829-4316-a6ea-2111eb3c84cb" targetNamespace="http://schemas.microsoft.com/office/2006/metadata/properties" ma:root="true" ma:fieldsID="56e136e2d0a82d68b51a95258489c7b7" ns3:_="" ns4:_="">
    <xsd:import namespace="2a46edd2-a00f-4e4f-8bf5-56bbc6af714a"/>
    <xsd:import namespace="5ee9160e-9829-4316-a6ea-2111eb3c8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edd2-a00f-4e4f-8bf5-56bbc6af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9160e-9829-4316-a6ea-2111eb3c8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27ED8-6341-475B-ACE6-44CD31BE41B9}">
  <ds:schemaRefs>
    <ds:schemaRef ds:uri="http://schemas.microsoft.com/office/infopath/2007/PartnerControls"/>
    <ds:schemaRef ds:uri="http://purl.org/dc/elements/1.1/"/>
    <ds:schemaRef ds:uri="http://schemas.microsoft.com/office/2006/metadata/properties"/>
    <ds:schemaRef ds:uri="2a46edd2-a00f-4e4f-8bf5-56bbc6af714a"/>
    <ds:schemaRef ds:uri="http://purl.org/dc/terms/"/>
    <ds:schemaRef ds:uri="5ee9160e-9829-4316-a6ea-2111eb3c84cb"/>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5568958-62D6-4447-AD74-4220567FA95D}">
  <ds:schemaRefs>
    <ds:schemaRef ds:uri="http://schemas.microsoft.com/sharepoint/v3/contenttype/forms"/>
  </ds:schemaRefs>
</ds:datastoreItem>
</file>

<file path=customXml/itemProps3.xml><?xml version="1.0" encoding="utf-8"?>
<ds:datastoreItem xmlns:ds="http://schemas.openxmlformats.org/officeDocument/2006/customXml" ds:itemID="{A50A2C4B-E909-4ACD-858C-B82332509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edd2-a00f-4e4f-8bf5-56bbc6af714a"/>
    <ds:schemaRef ds:uri="5ee9160e-9829-4316-a6ea-2111eb3c8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Laura Simpson</cp:lastModifiedBy>
  <cp:revision>2</cp:revision>
  <cp:lastPrinted>2014-07-28T12:47:00Z</cp:lastPrinted>
  <dcterms:created xsi:type="dcterms:W3CDTF">2021-11-23T11:00:00Z</dcterms:created>
  <dcterms:modified xsi:type="dcterms:W3CDTF">2021-11-23T11:00:00Z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0x0101005680293B847B894989892D174729E62A</vt:lpwstr>
  </property>
  <property fmtid="{D5CDD505-2E9C-101B-9397-08002B2CF9AE}" pid="3" name="QMULInformationClassification">
    <vt:i4>1</vt:i4>
  </property>
</Properties>
</file>