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F7CFA" w:rsidP="001F7CFA" w:rsidRDefault="001F7CFA" w14:paraId="6336AEAE" w14:textId="77777777">
      <w:pPr>
        <w:jc w:val="center"/>
        <w:rPr>
          <w:sz w:val="36"/>
          <w:szCs w:val="36"/>
        </w:rPr>
      </w:pPr>
    </w:p>
    <w:p w:rsidR="001F7CFA" w:rsidP="001F7CFA" w:rsidRDefault="001F7CFA" w14:paraId="57A865AB" w14:textId="77777777">
      <w:pPr>
        <w:jc w:val="center"/>
        <w:rPr>
          <w:sz w:val="36"/>
          <w:szCs w:val="36"/>
        </w:rPr>
      </w:pPr>
    </w:p>
    <w:p w:rsidRPr="001F7CFA" w:rsidR="001F7CFA" w:rsidP="001F7CFA" w:rsidRDefault="001F7CFA" w14:paraId="2E93B4EC" w14:textId="77777777">
      <w:pPr>
        <w:jc w:val="center"/>
        <w:rPr>
          <w:b/>
          <w:bCs/>
          <w:sz w:val="36"/>
          <w:szCs w:val="36"/>
        </w:rPr>
      </w:pPr>
    </w:p>
    <w:p w:rsidRPr="001F7CFA" w:rsidR="00D04227" w:rsidP="00B941A4" w:rsidRDefault="001F7CFA" w14:paraId="52EC58BB" w14:textId="725128B6" w14:noSpellErr="1">
      <w:pPr>
        <w:pStyle w:val="Title"/>
        <w:jc w:val="center"/>
      </w:pPr>
      <w:r w:rsidR="001F7CFA">
        <w:rPr/>
        <w:t>WIPH</w:t>
      </w:r>
      <w:r w:rsidR="001F7CFA">
        <w:rPr/>
        <w:t xml:space="preserve"> Supervisors Handbook</w:t>
      </w:r>
    </w:p>
    <w:p w:rsidR="00D04227" w:rsidRDefault="00D04227" w14:paraId="6C3D83B8" w14:textId="3FC81E9D">
      <w:pPr>
        <w:rPr>
          <w:b/>
          <w:bCs/>
          <w:sz w:val="28"/>
          <w:szCs w:val="28"/>
        </w:rPr>
      </w:pPr>
    </w:p>
    <w:p w:rsidR="001F7CFA" w:rsidRDefault="001F7CFA" w14:paraId="1294696B" w14:textId="77777777">
      <w:pPr>
        <w:rPr>
          <w:b/>
          <w:bCs/>
          <w:sz w:val="28"/>
          <w:szCs w:val="28"/>
        </w:rPr>
      </w:pPr>
    </w:p>
    <w:p w:rsidR="001F7CFA" w:rsidRDefault="001F7CFA" w14:paraId="3B3DF9CF" w14:textId="77777777">
      <w:pPr>
        <w:rPr>
          <w:b/>
          <w:bCs/>
          <w:sz w:val="28"/>
          <w:szCs w:val="28"/>
        </w:rPr>
      </w:pPr>
    </w:p>
    <w:p w:rsidR="001F7CFA" w:rsidRDefault="001F7CFA" w14:paraId="0936CE11" w14:textId="77777777">
      <w:pPr>
        <w:rPr>
          <w:b/>
          <w:bCs/>
          <w:sz w:val="28"/>
          <w:szCs w:val="28"/>
        </w:rPr>
      </w:pPr>
    </w:p>
    <w:p w:rsidR="001F7CFA" w:rsidRDefault="001F7CFA" w14:paraId="16FF3B27" w14:textId="77777777">
      <w:pPr>
        <w:rPr>
          <w:b/>
          <w:bCs/>
          <w:sz w:val="28"/>
          <w:szCs w:val="28"/>
        </w:rPr>
      </w:pPr>
    </w:p>
    <w:p w:rsidR="001F7CFA" w:rsidRDefault="001F7CFA" w14:paraId="364CBD06" w14:textId="77777777">
      <w:pPr>
        <w:rPr>
          <w:b/>
          <w:bCs/>
          <w:sz w:val="28"/>
          <w:szCs w:val="28"/>
        </w:rPr>
      </w:pPr>
    </w:p>
    <w:p w:rsidR="001F7CFA" w:rsidRDefault="001F7CFA" w14:paraId="45DCFBEB" w14:textId="77777777">
      <w:pPr>
        <w:rPr>
          <w:b/>
          <w:bCs/>
          <w:sz w:val="28"/>
          <w:szCs w:val="28"/>
        </w:rPr>
      </w:pPr>
    </w:p>
    <w:p w:rsidR="001F7CFA" w:rsidRDefault="001F7CFA" w14:paraId="65C1082E" w14:textId="77777777">
      <w:pPr>
        <w:rPr>
          <w:b/>
          <w:bCs/>
          <w:sz w:val="28"/>
          <w:szCs w:val="28"/>
        </w:rPr>
      </w:pPr>
    </w:p>
    <w:p w:rsidR="001F7CFA" w:rsidRDefault="001F7CFA" w14:paraId="41C7E090" w14:textId="77777777">
      <w:pPr>
        <w:rPr>
          <w:b/>
          <w:bCs/>
          <w:sz w:val="28"/>
          <w:szCs w:val="28"/>
        </w:rPr>
      </w:pPr>
    </w:p>
    <w:p w:rsidR="001F7CFA" w:rsidRDefault="001F7CFA" w14:paraId="69FAF70B" w14:textId="77777777">
      <w:pPr>
        <w:rPr>
          <w:b/>
          <w:bCs/>
          <w:sz w:val="28"/>
          <w:szCs w:val="28"/>
        </w:rPr>
      </w:pPr>
    </w:p>
    <w:p w:rsidR="001F7CFA" w:rsidRDefault="001F7CFA" w14:paraId="61A00826" w14:textId="77777777">
      <w:pPr>
        <w:rPr>
          <w:b/>
          <w:bCs/>
          <w:sz w:val="28"/>
          <w:szCs w:val="28"/>
        </w:rPr>
      </w:pPr>
    </w:p>
    <w:p w:rsidR="001F7CFA" w:rsidRDefault="001F7CFA" w14:paraId="785138BF" w14:textId="77777777">
      <w:pPr>
        <w:rPr>
          <w:b/>
          <w:bCs/>
          <w:sz w:val="28"/>
          <w:szCs w:val="28"/>
        </w:rPr>
      </w:pPr>
    </w:p>
    <w:p w:rsidR="001F7CFA" w:rsidRDefault="001F7CFA" w14:paraId="5A1F0E73" w14:textId="77777777">
      <w:pPr>
        <w:rPr>
          <w:b/>
          <w:bCs/>
          <w:sz w:val="28"/>
          <w:szCs w:val="28"/>
        </w:rPr>
      </w:pPr>
    </w:p>
    <w:p w:rsidR="001F7CFA" w:rsidRDefault="001F7CFA" w14:paraId="1085DFF1" w14:textId="77777777">
      <w:pPr>
        <w:rPr>
          <w:b/>
          <w:bCs/>
          <w:sz w:val="28"/>
          <w:szCs w:val="28"/>
        </w:rPr>
      </w:pPr>
    </w:p>
    <w:p w:rsidR="001F7CFA" w:rsidRDefault="001F7CFA" w14:paraId="6A5564CD" w14:textId="77777777">
      <w:pPr>
        <w:rPr>
          <w:b/>
          <w:bCs/>
          <w:sz w:val="28"/>
          <w:szCs w:val="28"/>
        </w:rPr>
      </w:pPr>
    </w:p>
    <w:p w:rsidR="001F7CFA" w:rsidRDefault="001F7CFA" w14:paraId="1647536D" w14:textId="77777777">
      <w:pPr>
        <w:rPr>
          <w:b/>
          <w:bCs/>
          <w:sz w:val="28"/>
          <w:szCs w:val="28"/>
        </w:rPr>
      </w:pPr>
    </w:p>
    <w:p w:rsidR="001F7CFA" w:rsidRDefault="001F7CFA" w14:paraId="58AEC9C3" w14:textId="77777777">
      <w:pPr>
        <w:rPr>
          <w:b/>
          <w:bCs/>
          <w:sz w:val="28"/>
          <w:szCs w:val="28"/>
        </w:rPr>
      </w:pPr>
    </w:p>
    <w:p w:rsidR="001F7CFA" w:rsidRDefault="001F7CFA" w14:paraId="5ADEBE54" w14:textId="77777777">
      <w:pPr>
        <w:rPr>
          <w:b/>
          <w:bCs/>
          <w:sz w:val="28"/>
          <w:szCs w:val="28"/>
        </w:rPr>
      </w:pPr>
    </w:p>
    <w:p w:rsidR="001F7CFA" w:rsidRDefault="001F7CFA" w14:paraId="4B26646E" w14:textId="77777777">
      <w:pPr>
        <w:rPr>
          <w:b/>
          <w:bCs/>
          <w:sz w:val="28"/>
          <w:szCs w:val="28"/>
        </w:rPr>
      </w:pPr>
    </w:p>
    <w:p w:rsidR="001F7CFA" w:rsidRDefault="001F7CFA" w14:paraId="4777CBF8" w14:textId="77777777">
      <w:pPr>
        <w:rPr>
          <w:b/>
          <w:bCs/>
          <w:sz w:val="28"/>
          <w:szCs w:val="28"/>
        </w:rPr>
      </w:pPr>
    </w:p>
    <w:p w:rsidR="001F7CFA" w:rsidRDefault="001F7CFA" w14:paraId="03E82B48" w14:textId="77777777">
      <w:pPr>
        <w:rPr>
          <w:b/>
          <w:bCs/>
          <w:sz w:val="28"/>
          <w:szCs w:val="28"/>
        </w:rPr>
      </w:pPr>
    </w:p>
    <w:sdt>
      <w:sdtPr>
        <w:id w:val="689884524"/>
        <w:docPartObj>
          <w:docPartGallery w:val="Table of Contents"/>
          <w:docPartUnique/>
        </w:docPartObj>
      </w:sdtPr>
      <w:sdtContent>
        <w:p w:rsidR="00B0689D" w:rsidRDefault="00B0689D" w14:paraId="2A98D198" w14:textId="236D912A">
          <w:pPr>
            <w:pStyle w:val="TOCHeading"/>
          </w:pPr>
          <w:r w:rsidR="00B0689D">
            <w:rPr/>
            <w:t>Contents</w:t>
          </w:r>
        </w:p>
        <w:p w:rsidR="002D5EAF" w:rsidP="2FD17568" w:rsidRDefault="00B0689D" w14:paraId="2EA5E4F2" w14:textId="7E9A84D4">
          <w:pPr>
            <w:pStyle w:val="TOC1"/>
            <w:tabs>
              <w:tab w:val="left" w:leader="none" w:pos="435"/>
              <w:tab w:val="right" w:leader="dot" w:pos="9015"/>
            </w:tabs>
            <w:rPr>
              <w:rStyle w:val="Hyperlink"/>
              <w:noProof/>
              <w:lang w:eastAsia="en-GB"/>
            </w:rPr>
          </w:pPr>
          <w:r>
            <w:fldChar w:fldCharType="begin"/>
          </w:r>
          <w:r>
            <w:instrText xml:space="preserve">TOC \o "1-3" \z \u \h</w:instrText>
          </w:r>
          <w:r>
            <w:fldChar w:fldCharType="separate"/>
          </w:r>
          <w:hyperlink w:anchor="_Toc1114080926">
            <w:r w:rsidRPr="2FD17568" w:rsidR="2FD17568">
              <w:rPr>
                <w:rStyle w:val="Hyperlink"/>
              </w:rPr>
              <w:t>1.</w:t>
            </w:r>
            <w:r>
              <w:tab/>
            </w:r>
            <w:r w:rsidRPr="2FD17568" w:rsidR="2FD17568">
              <w:rPr>
                <w:rStyle w:val="Hyperlink"/>
              </w:rPr>
              <w:t>Recruiting a student</w:t>
            </w:r>
            <w:r>
              <w:tab/>
            </w:r>
            <w:r>
              <w:fldChar w:fldCharType="begin"/>
            </w:r>
            <w:r>
              <w:instrText xml:space="preserve">PAGEREF _Toc1114080926 \h</w:instrText>
            </w:r>
            <w:r>
              <w:fldChar w:fldCharType="separate"/>
            </w:r>
            <w:r w:rsidRPr="2FD17568" w:rsidR="2FD17568">
              <w:rPr>
                <w:rStyle w:val="Hyperlink"/>
              </w:rPr>
              <w:t>2</w:t>
            </w:r>
            <w:r>
              <w:fldChar w:fldCharType="end"/>
            </w:r>
          </w:hyperlink>
        </w:p>
        <w:p w:rsidR="002D5EAF" w:rsidP="2FD17568" w:rsidRDefault="002D5EAF" w14:paraId="2D4CE3BE" w14:textId="6627D5C9">
          <w:pPr>
            <w:pStyle w:val="TOC1"/>
            <w:tabs>
              <w:tab w:val="left" w:leader="none" w:pos="435"/>
              <w:tab w:val="right" w:leader="dot" w:pos="9015"/>
            </w:tabs>
            <w:rPr>
              <w:rStyle w:val="Hyperlink"/>
              <w:noProof/>
              <w:lang w:eastAsia="en-GB"/>
            </w:rPr>
          </w:pPr>
          <w:hyperlink w:anchor="_Toc435686662">
            <w:r w:rsidRPr="2FD17568" w:rsidR="2FD17568">
              <w:rPr>
                <w:rStyle w:val="Hyperlink"/>
              </w:rPr>
              <w:t>2.</w:t>
            </w:r>
            <w:r>
              <w:tab/>
            </w:r>
            <w:r w:rsidRPr="2FD17568" w:rsidR="2FD17568">
              <w:rPr>
                <w:rStyle w:val="Hyperlink"/>
              </w:rPr>
              <w:t>Enrolment</w:t>
            </w:r>
            <w:r>
              <w:tab/>
            </w:r>
            <w:r>
              <w:fldChar w:fldCharType="begin"/>
            </w:r>
            <w:r>
              <w:instrText xml:space="preserve">PAGEREF _Toc435686662 \h</w:instrText>
            </w:r>
            <w:r>
              <w:fldChar w:fldCharType="separate"/>
            </w:r>
            <w:r w:rsidRPr="2FD17568" w:rsidR="2FD17568">
              <w:rPr>
                <w:rStyle w:val="Hyperlink"/>
              </w:rPr>
              <w:t>6</w:t>
            </w:r>
            <w:r>
              <w:fldChar w:fldCharType="end"/>
            </w:r>
          </w:hyperlink>
        </w:p>
        <w:p w:rsidR="002D5EAF" w:rsidP="2FD17568" w:rsidRDefault="002D5EAF" w14:paraId="79C9C2F7" w14:textId="7E67FF74">
          <w:pPr>
            <w:pStyle w:val="TOC1"/>
            <w:tabs>
              <w:tab w:val="left" w:leader="none" w:pos="435"/>
              <w:tab w:val="right" w:leader="dot" w:pos="9015"/>
            </w:tabs>
            <w:rPr>
              <w:rStyle w:val="Hyperlink"/>
              <w:noProof/>
              <w:lang w:eastAsia="en-GB"/>
            </w:rPr>
          </w:pPr>
          <w:hyperlink w:anchor="_Toc1118849671">
            <w:r w:rsidRPr="2FD17568" w:rsidR="2FD17568">
              <w:rPr>
                <w:rStyle w:val="Hyperlink"/>
              </w:rPr>
              <w:t>3.</w:t>
            </w:r>
            <w:r>
              <w:tab/>
            </w:r>
            <w:r w:rsidRPr="2FD17568" w:rsidR="2FD17568">
              <w:rPr>
                <w:rStyle w:val="Hyperlink"/>
              </w:rPr>
              <w:t>Progression</w:t>
            </w:r>
            <w:r>
              <w:tab/>
            </w:r>
            <w:r>
              <w:fldChar w:fldCharType="begin"/>
            </w:r>
            <w:r>
              <w:instrText xml:space="preserve">PAGEREF _Toc1118849671 \h</w:instrText>
            </w:r>
            <w:r>
              <w:fldChar w:fldCharType="separate"/>
            </w:r>
            <w:r w:rsidRPr="2FD17568" w:rsidR="2FD17568">
              <w:rPr>
                <w:rStyle w:val="Hyperlink"/>
              </w:rPr>
              <w:t>7</w:t>
            </w:r>
            <w:r>
              <w:fldChar w:fldCharType="end"/>
            </w:r>
          </w:hyperlink>
        </w:p>
        <w:p w:rsidR="002D5EAF" w:rsidP="2FD17568" w:rsidRDefault="002D5EAF" w14:paraId="4C4980DB" w14:textId="233C2FDF">
          <w:pPr>
            <w:pStyle w:val="TOC1"/>
            <w:tabs>
              <w:tab w:val="left" w:leader="none" w:pos="435"/>
              <w:tab w:val="right" w:leader="dot" w:pos="9015"/>
            </w:tabs>
            <w:rPr>
              <w:rStyle w:val="Hyperlink"/>
              <w:noProof/>
              <w:lang w:eastAsia="en-GB"/>
            </w:rPr>
          </w:pPr>
          <w:hyperlink w:anchor="_Toc1757779899">
            <w:r w:rsidRPr="2FD17568" w:rsidR="2FD17568">
              <w:rPr>
                <w:rStyle w:val="Hyperlink"/>
              </w:rPr>
              <w:t>4.</w:t>
            </w:r>
            <w:r>
              <w:tab/>
            </w:r>
            <w:r w:rsidRPr="2FD17568" w:rsidR="2FD17568">
              <w:rPr>
                <w:rStyle w:val="Hyperlink"/>
              </w:rPr>
              <w:t>Nomination of examiners and examination entry for final viva</w:t>
            </w:r>
            <w:r>
              <w:tab/>
            </w:r>
            <w:r>
              <w:fldChar w:fldCharType="begin"/>
            </w:r>
            <w:r>
              <w:instrText xml:space="preserve">PAGEREF _Toc1757779899 \h</w:instrText>
            </w:r>
            <w:r>
              <w:fldChar w:fldCharType="separate"/>
            </w:r>
            <w:r w:rsidRPr="2FD17568" w:rsidR="2FD17568">
              <w:rPr>
                <w:rStyle w:val="Hyperlink"/>
              </w:rPr>
              <w:t>9</w:t>
            </w:r>
            <w:r>
              <w:fldChar w:fldCharType="end"/>
            </w:r>
          </w:hyperlink>
        </w:p>
        <w:p w:rsidR="002D5EAF" w:rsidP="2FD17568" w:rsidRDefault="002D5EAF" w14:paraId="3AE1269A" w14:textId="7B597FA4">
          <w:pPr>
            <w:pStyle w:val="TOC1"/>
            <w:tabs>
              <w:tab w:val="left" w:leader="none" w:pos="435"/>
              <w:tab w:val="right" w:leader="dot" w:pos="9015"/>
            </w:tabs>
            <w:rPr>
              <w:rStyle w:val="Hyperlink"/>
              <w:noProof/>
              <w:lang w:eastAsia="en-GB"/>
            </w:rPr>
          </w:pPr>
          <w:hyperlink w:anchor="_Toc1317864996">
            <w:r w:rsidRPr="2FD17568" w:rsidR="2FD17568">
              <w:rPr>
                <w:rStyle w:val="Hyperlink"/>
              </w:rPr>
              <w:t>5.</w:t>
            </w:r>
            <w:r>
              <w:tab/>
            </w:r>
            <w:r w:rsidRPr="2FD17568" w:rsidR="2FD17568">
              <w:rPr>
                <w:rStyle w:val="Hyperlink"/>
              </w:rPr>
              <w:t>Thesis Submission</w:t>
            </w:r>
            <w:r>
              <w:tab/>
            </w:r>
            <w:r>
              <w:fldChar w:fldCharType="begin"/>
            </w:r>
            <w:r>
              <w:instrText xml:space="preserve">PAGEREF _Toc1317864996 \h</w:instrText>
            </w:r>
            <w:r>
              <w:fldChar w:fldCharType="separate"/>
            </w:r>
            <w:r w:rsidRPr="2FD17568" w:rsidR="2FD17568">
              <w:rPr>
                <w:rStyle w:val="Hyperlink"/>
              </w:rPr>
              <w:t>10</w:t>
            </w:r>
            <w:r>
              <w:fldChar w:fldCharType="end"/>
            </w:r>
          </w:hyperlink>
        </w:p>
        <w:p w:rsidR="002D5EAF" w:rsidP="2FD17568" w:rsidRDefault="002D5EAF" w14:paraId="6A92C200" w14:textId="2CCA9332">
          <w:pPr>
            <w:pStyle w:val="TOC1"/>
            <w:tabs>
              <w:tab w:val="left" w:leader="none" w:pos="435"/>
              <w:tab w:val="right" w:leader="dot" w:pos="9015"/>
            </w:tabs>
            <w:rPr>
              <w:rStyle w:val="Hyperlink"/>
              <w:noProof/>
              <w:lang w:eastAsia="en-GB"/>
            </w:rPr>
          </w:pPr>
          <w:hyperlink w:anchor="_Toc1470967982">
            <w:r w:rsidRPr="2FD17568" w:rsidR="2FD17568">
              <w:rPr>
                <w:rStyle w:val="Hyperlink"/>
              </w:rPr>
              <w:t>6.</w:t>
            </w:r>
            <w:r>
              <w:tab/>
            </w:r>
            <w:r w:rsidRPr="2FD17568" w:rsidR="2FD17568">
              <w:rPr>
                <w:rStyle w:val="Hyperlink"/>
              </w:rPr>
              <w:t>Viva Voce</w:t>
            </w:r>
            <w:r>
              <w:tab/>
            </w:r>
            <w:r>
              <w:fldChar w:fldCharType="begin"/>
            </w:r>
            <w:r>
              <w:instrText xml:space="preserve">PAGEREF _Toc1470967982 \h</w:instrText>
            </w:r>
            <w:r>
              <w:fldChar w:fldCharType="separate"/>
            </w:r>
            <w:r w:rsidRPr="2FD17568" w:rsidR="2FD17568">
              <w:rPr>
                <w:rStyle w:val="Hyperlink"/>
              </w:rPr>
              <w:t>11</w:t>
            </w:r>
            <w:r>
              <w:fldChar w:fldCharType="end"/>
            </w:r>
          </w:hyperlink>
        </w:p>
        <w:p w:rsidR="002D5EAF" w:rsidP="2FD17568" w:rsidRDefault="002D5EAF" w14:paraId="1B2974F6" w14:textId="47E1C9F8">
          <w:pPr>
            <w:pStyle w:val="TOC1"/>
            <w:tabs>
              <w:tab w:val="left" w:leader="none" w:pos="435"/>
              <w:tab w:val="right" w:leader="dot" w:pos="9015"/>
            </w:tabs>
            <w:rPr>
              <w:rStyle w:val="Hyperlink"/>
              <w:noProof/>
              <w:lang w:eastAsia="en-GB"/>
            </w:rPr>
          </w:pPr>
          <w:hyperlink w:anchor="_Toc1467286883">
            <w:r w:rsidRPr="2FD17568" w:rsidR="2FD17568">
              <w:rPr>
                <w:rStyle w:val="Hyperlink"/>
              </w:rPr>
              <w:t>7.</w:t>
            </w:r>
            <w:r>
              <w:tab/>
            </w:r>
            <w:r w:rsidRPr="2FD17568" w:rsidR="2FD17568">
              <w:rPr>
                <w:rStyle w:val="Hyperlink"/>
              </w:rPr>
              <w:t>Examination Outcomes</w:t>
            </w:r>
            <w:r>
              <w:tab/>
            </w:r>
            <w:r>
              <w:fldChar w:fldCharType="begin"/>
            </w:r>
            <w:r>
              <w:instrText xml:space="preserve">PAGEREF _Toc1467286883 \h</w:instrText>
            </w:r>
            <w:r>
              <w:fldChar w:fldCharType="separate"/>
            </w:r>
            <w:r w:rsidRPr="2FD17568" w:rsidR="2FD17568">
              <w:rPr>
                <w:rStyle w:val="Hyperlink"/>
              </w:rPr>
              <w:t>11</w:t>
            </w:r>
            <w:r>
              <w:fldChar w:fldCharType="end"/>
            </w:r>
          </w:hyperlink>
        </w:p>
        <w:p w:rsidR="002D5EAF" w:rsidP="2FD17568" w:rsidRDefault="002D5EAF" w14:paraId="2078B79E" w14:textId="598EA633">
          <w:pPr>
            <w:pStyle w:val="TOC1"/>
            <w:tabs>
              <w:tab w:val="left" w:leader="none" w:pos="435"/>
              <w:tab w:val="right" w:leader="dot" w:pos="9015"/>
            </w:tabs>
            <w:rPr>
              <w:rStyle w:val="Hyperlink"/>
              <w:noProof/>
              <w:lang w:eastAsia="en-GB"/>
            </w:rPr>
          </w:pPr>
          <w:hyperlink w:anchor="_Toc1719393921">
            <w:r w:rsidRPr="2FD17568" w:rsidR="2FD17568">
              <w:rPr>
                <w:rStyle w:val="Hyperlink"/>
              </w:rPr>
              <w:t>8.</w:t>
            </w:r>
            <w:r>
              <w:tab/>
            </w:r>
            <w:r w:rsidRPr="2FD17568" w:rsidR="2FD17568">
              <w:rPr>
                <w:rStyle w:val="Hyperlink"/>
              </w:rPr>
              <w:t>Supervisor training</w:t>
            </w:r>
            <w:r>
              <w:tab/>
            </w:r>
            <w:r>
              <w:fldChar w:fldCharType="begin"/>
            </w:r>
            <w:r>
              <w:instrText xml:space="preserve">PAGEREF _Toc1719393921 \h</w:instrText>
            </w:r>
            <w:r>
              <w:fldChar w:fldCharType="separate"/>
            </w:r>
            <w:r w:rsidRPr="2FD17568" w:rsidR="2FD17568">
              <w:rPr>
                <w:rStyle w:val="Hyperlink"/>
              </w:rPr>
              <w:t>12</w:t>
            </w:r>
            <w:r>
              <w:fldChar w:fldCharType="end"/>
            </w:r>
          </w:hyperlink>
        </w:p>
        <w:p w:rsidR="002D5EAF" w:rsidP="2FD17568" w:rsidRDefault="002D5EAF" w14:paraId="5228EF5B" w14:textId="091C0F8A">
          <w:pPr>
            <w:pStyle w:val="TOC1"/>
            <w:tabs>
              <w:tab w:val="left" w:leader="none" w:pos="435"/>
              <w:tab w:val="right" w:leader="dot" w:pos="9015"/>
            </w:tabs>
            <w:rPr>
              <w:rStyle w:val="Hyperlink"/>
              <w:noProof/>
              <w:lang w:eastAsia="en-GB"/>
            </w:rPr>
          </w:pPr>
          <w:hyperlink w:anchor="_Toc1335632933">
            <w:r w:rsidRPr="2FD17568" w:rsidR="2FD17568">
              <w:rPr>
                <w:rStyle w:val="Hyperlink"/>
              </w:rPr>
              <w:t>9.</w:t>
            </w:r>
            <w:r>
              <w:tab/>
            </w:r>
            <w:r w:rsidRPr="2FD17568" w:rsidR="2FD17568">
              <w:rPr>
                <w:rStyle w:val="Hyperlink"/>
              </w:rPr>
              <w:t>Supporting Student Wellbeing</w:t>
            </w:r>
            <w:r>
              <w:tab/>
            </w:r>
            <w:r>
              <w:fldChar w:fldCharType="begin"/>
            </w:r>
            <w:r>
              <w:instrText xml:space="preserve">PAGEREF _Toc1335632933 \h</w:instrText>
            </w:r>
            <w:r>
              <w:fldChar w:fldCharType="separate"/>
            </w:r>
            <w:r w:rsidRPr="2FD17568" w:rsidR="2FD17568">
              <w:rPr>
                <w:rStyle w:val="Hyperlink"/>
              </w:rPr>
              <w:t>12</w:t>
            </w:r>
            <w:r>
              <w:fldChar w:fldCharType="end"/>
            </w:r>
          </w:hyperlink>
        </w:p>
        <w:p w:rsidR="2FD17568" w:rsidP="2FD17568" w:rsidRDefault="2FD17568" w14:paraId="4ADE803A" w14:textId="471933D4">
          <w:pPr>
            <w:pStyle w:val="TOC1"/>
            <w:tabs>
              <w:tab w:val="left" w:leader="none" w:pos="435"/>
              <w:tab w:val="right" w:leader="dot" w:pos="9015"/>
            </w:tabs>
            <w:rPr>
              <w:rStyle w:val="Hyperlink"/>
            </w:rPr>
          </w:pPr>
          <w:hyperlink w:anchor="_Toc220274709">
            <w:r w:rsidRPr="2FD17568" w:rsidR="2FD17568">
              <w:rPr>
                <w:rStyle w:val="Hyperlink"/>
              </w:rPr>
              <w:t>10.</w:t>
            </w:r>
            <w:r>
              <w:tab/>
            </w:r>
            <w:r w:rsidRPr="2FD17568" w:rsidR="2FD17568">
              <w:rPr>
                <w:rStyle w:val="Hyperlink"/>
              </w:rPr>
              <w:t>Key Contacts</w:t>
            </w:r>
            <w:r>
              <w:tab/>
            </w:r>
            <w:r>
              <w:fldChar w:fldCharType="begin"/>
            </w:r>
            <w:r>
              <w:instrText xml:space="preserve">PAGEREF _Toc220274709 \h</w:instrText>
            </w:r>
            <w:r>
              <w:fldChar w:fldCharType="separate"/>
            </w:r>
            <w:r w:rsidRPr="2FD17568" w:rsidR="2FD17568">
              <w:rPr>
                <w:rStyle w:val="Hyperlink"/>
              </w:rPr>
              <w:t>12</w:t>
            </w:r>
            <w:r>
              <w:fldChar w:fldCharType="end"/>
            </w:r>
          </w:hyperlink>
          <w:r>
            <w:fldChar w:fldCharType="end"/>
          </w:r>
        </w:p>
      </w:sdtContent>
    </w:sdt>
    <w:p w:rsidR="00B0689D" w:rsidRDefault="00B0689D" w14:paraId="43AD8D4F" w14:textId="0773506D"/>
    <w:p w:rsidR="001F7CFA" w:rsidRDefault="001F7CFA" w14:paraId="1F07BA3D" w14:textId="77777777">
      <w:pPr>
        <w:rPr>
          <w:b/>
          <w:bCs/>
          <w:sz w:val="28"/>
          <w:szCs w:val="28"/>
        </w:rPr>
      </w:pPr>
    </w:p>
    <w:p w:rsidR="00D04227" w:rsidP="00D04227" w:rsidRDefault="00D04227" w14:paraId="4E1DF7B4" w14:textId="77777777">
      <w:pPr>
        <w:rPr>
          <w:b/>
          <w:bCs/>
          <w:sz w:val="28"/>
          <w:szCs w:val="28"/>
        </w:rPr>
      </w:pPr>
    </w:p>
    <w:p w:rsidR="002D5EAF" w:rsidP="00D04227" w:rsidRDefault="002D5EAF" w14:paraId="0BB066BC" w14:textId="77777777">
      <w:pPr>
        <w:rPr>
          <w:b w:val="1"/>
          <w:bCs w:val="1"/>
          <w:sz w:val="28"/>
          <w:szCs w:val="28"/>
        </w:rPr>
      </w:pPr>
    </w:p>
    <w:p w:rsidR="002D5EAF" w:rsidP="00D04227" w:rsidRDefault="002D5EAF" w14:paraId="0B678810" w14:textId="77777777">
      <w:pPr>
        <w:rPr>
          <w:b/>
          <w:bCs/>
          <w:sz w:val="28"/>
          <w:szCs w:val="28"/>
        </w:rPr>
      </w:pPr>
    </w:p>
    <w:p w:rsidR="002D5EAF" w:rsidP="00D04227" w:rsidRDefault="002D5EAF" w14:paraId="0F80CBBC" w14:textId="77777777">
      <w:pPr>
        <w:rPr>
          <w:b/>
          <w:bCs/>
          <w:sz w:val="28"/>
          <w:szCs w:val="28"/>
        </w:rPr>
      </w:pPr>
    </w:p>
    <w:p w:rsidR="002D5EAF" w:rsidP="00D04227" w:rsidRDefault="002D5EAF" w14:paraId="3F3FE123" w14:textId="77777777">
      <w:pPr>
        <w:rPr>
          <w:b/>
          <w:bCs/>
          <w:sz w:val="28"/>
          <w:szCs w:val="28"/>
        </w:rPr>
      </w:pPr>
    </w:p>
    <w:p w:rsidR="002D5EAF" w:rsidP="00D04227" w:rsidRDefault="002D5EAF" w14:paraId="47318892" w14:textId="77777777">
      <w:pPr>
        <w:rPr>
          <w:b/>
          <w:bCs/>
          <w:sz w:val="28"/>
          <w:szCs w:val="28"/>
        </w:rPr>
      </w:pPr>
    </w:p>
    <w:p w:rsidR="002D5EAF" w:rsidP="00D04227" w:rsidRDefault="002D5EAF" w14:paraId="5C7721C8" w14:textId="77777777">
      <w:pPr>
        <w:rPr>
          <w:b/>
          <w:bCs/>
          <w:sz w:val="28"/>
          <w:szCs w:val="28"/>
        </w:rPr>
      </w:pPr>
    </w:p>
    <w:p w:rsidR="002D5EAF" w:rsidP="00D04227" w:rsidRDefault="002D5EAF" w14:paraId="4EABBD3F" w14:textId="77777777">
      <w:pPr>
        <w:rPr>
          <w:b/>
          <w:bCs/>
          <w:sz w:val="28"/>
          <w:szCs w:val="28"/>
        </w:rPr>
      </w:pPr>
    </w:p>
    <w:p w:rsidR="002D5EAF" w:rsidP="00D04227" w:rsidRDefault="002D5EAF" w14:paraId="4D3491B6" w14:textId="77777777">
      <w:pPr>
        <w:rPr>
          <w:b/>
          <w:bCs/>
          <w:sz w:val="28"/>
          <w:szCs w:val="28"/>
        </w:rPr>
      </w:pPr>
    </w:p>
    <w:p w:rsidR="002D5EAF" w:rsidP="00D04227" w:rsidRDefault="002D5EAF" w14:paraId="791F7720" w14:textId="77777777">
      <w:pPr>
        <w:rPr>
          <w:b/>
          <w:bCs/>
          <w:sz w:val="28"/>
          <w:szCs w:val="28"/>
        </w:rPr>
      </w:pPr>
    </w:p>
    <w:p w:rsidR="002D5EAF" w:rsidP="00D04227" w:rsidRDefault="002D5EAF" w14:paraId="56797FEC" w14:textId="77777777">
      <w:pPr>
        <w:rPr>
          <w:b/>
          <w:bCs/>
          <w:sz w:val="28"/>
          <w:szCs w:val="28"/>
        </w:rPr>
      </w:pPr>
    </w:p>
    <w:p w:rsidR="002D5EAF" w:rsidP="00D04227" w:rsidRDefault="002D5EAF" w14:paraId="029459C7" w14:textId="77777777">
      <w:pPr>
        <w:rPr>
          <w:b/>
          <w:bCs/>
          <w:sz w:val="28"/>
          <w:szCs w:val="28"/>
        </w:rPr>
      </w:pPr>
    </w:p>
    <w:p w:rsidR="002D5EAF" w:rsidP="00D04227" w:rsidRDefault="002D5EAF" w14:paraId="53A803E7" w14:textId="77777777">
      <w:pPr>
        <w:rPr>
          <w:b/>
          <w:bCs/>
          <w:sz w:val="28"/>
          <w:szCs w:val="28"/>
        </w:rPr>
      </w:pPr>
    </w:p>
    <w:p w:rsidR="002D5EAF" w:rsidP="00D04227" w:rsidRDefault="002D5EAF" w14:paraId="67B2068B" w14:textId="77777777">
      <w:pPr>
        <w:rPr>
          <w:b w:val="1"/>
          <w:bCs w:val="1"/>
          <w:sz w:val="28"/>
          <w:szCs w:val="28"/>
        </w:rPr>
      </w:pPr>
    </w:p>
    <w:p w:rsidR="5F997025" w:rsidP="5F997025" w:rsidRDefault="5F997025" w14:paraId="3B45703D" w14:textId="75D0B884">
      <w:pPr>
        <w:rPr>
          <w:b w:val="1"/>
          <w:bCs w:val="1"/>
          <w:sz w:val="28"/>
          <w:szCs w:val="28"/>
        </w:rPr>
      </w:pPr>
    </w:p>
    <w:p w:rsidRPr="00D04227" w:rsidR="002D5EAF" w:rsidP="00D04227" w:rsidRDefault="002D5EAF" w14:paraId="1EA94960" w14:textId="77777777">
      <w:pPr>
        <w:rPr>
          <w:b w:val="1"/>
          <w:bCs w:val="1"/>
          <w:sz w:val="28"/>
          <w:szCs w:val="28"/>
        </w:rPr>
      </w:pPr>
    </w:p>
    <w:p w:rsidR="008F5185" w:rsidP="002D5EAF" w:rsidRDefault="00DD702D" w14:paraId="3225C2DA" w14:textId="3B8A0E8E">
      <w:pPr>
        <w:pStyle w:val="Heading1"/>
        <w:numPr>
          <w:ilvl w:val="0"/>
          <w:numId w:val="24"/>
        </w:numPr>
        <w:rPr/>
      </w:pPr>
      <w:bookmarkStart w:name="_Toc1114080926" w:id="1499760336"/>
      <w:r w:rsidR="00DD702D">
        <w:rPr/>
        <w:t>Recruiting a student</w:t>
      </w:r>
      <w:bookmarkEnd w:id="1499760336"/>
    </w:p>
    <w:p w:rsidR="00DD702D" w:rsidRDefault="00D04227" w14:paraId="12A08126" w14:textId="4E28F7B5">
      <w:r w:rsidR="00D04227">
        <w:rPr/>
        <w:t>I</w:t>
      </w:r>
      <w:r w:rsidR="00DD702D">
        <w:rPr/>
        <w:t xml:space="preserve">f you are looking to appoint a </w:t>
      </w:r>
      <w:r w:rsidR="00B941A4">
        <w:rPr/>
        <w:t>student,</w:t>
      </w:r>
      <w:r w:rsidR="00DD702D">
        <w:rPr/>
        <w:t xml:space="preserve"> it is essential that you discuss this with the Research Administrator</w:t>
      </w:r>
      <w:r w:rsidR="009964F4">
        <w:rPr/>
        <w:t>.</w:t>
      </w:r>
      <w:r w:rsidR="00DD702D">
        <w:rPr/>
        <w:t xml:space="preserve"> </w:t>
      </w:r>
      <w:r w:rsidR="009964F4">
        <w:rPr/>
        <w:t>P</w:t>
      </w:r>
      <w:r w:rsidR="00DD702D">
        <w:rPr/>
        <w:t xml:space="preserve">lease email </w:t>
      </w:r>
      <w:hyperlink r:id="R40d44fd8b6ab42ce">
        <w:r w:rsidRPr="2FD17568" w:rsidR="00DD702D">
          <w:rPr>
            <w:rStyle w:val="Hyperlink"/>
          </w:rPr>
          <w:t>p.mullan@qmul.ac.uk</w:t>
        </w:r>
      </w:hyperlink>
      <w:r w:rsidR="009964F4">
        <w:rPr/>
        <w:t xml:space="preserve"> as early as possible in the process to ensure that all procedures are correctly followed</w:t>
      </w:r>
      <w:r w:rsidR="00DD702D">
        <w:rPr/>
        <w:t xml:space="preserve">. There is a checklist in the </w:t>
      </w:r>
      <w:r w:rsidR="00DD702D">
        <w:rPr/>
        <w:t xml:space="preserve">Staff Zone </w:t>
      </w:r>
      <w:r w:rsidR="00DD702D">
        <w:rPr/>
        <w:t xml:space="preserve">of things that need to in place before any student can be enrolled. Please ensure that you </w:t>
      </w:r>
      <w:r w:rsidR="00DD702D">
        <w:rPr/>
        <w:t>submit</w:t>
      </w:r>
      <w:r w:rsidR="00DD702D">
        <w:rPr/>
        <w:t xml:space="preserve"> this</w:t>
      </w:r>
      <w:r w:rsidR="50E7FAC4">
        <w:rPr/>
        <w:t xml:space="preserve"> checklist</w:t>
      </w:r>
      <w:r w:rsidR="00DD702D">
        <w:rPr/>
        <w:t xml:space="preserve"> document to the Research Administrator at least 3 months prior to the </w:t>
      </w:r>
      <w:r w:rsidR="00DD702D">
        <w:rPr/>
        <w:t>anticipated</w:t>
      </w:r>
      <w:r w:rsidR="00DD702D">
        <w:rPr/>
        <w:t xml:space="preserve"> start date of your student.</w:t>
      </w:r>
    </w:p>
    <w:p w:rsidRPr="009964F4" w:rsidR="009964F4" w:rsidRDefault="009964F4" w14:paraId="60EA1350" w14:textId="7E512FC1">
      <w:r w:rsidRPr="2FD17568" w:rsidR="009964F4">
        <w:rPr>
          <w:b w:val="1"/>
          <w:bCs w:val="1"/>
          <w:color w:val="FF0000"/>
        </w:rPr>
        <w:t xml:space="preserve">Please note that the institute will not issue fee waivers for overseas fees in any cases. </w:t>
      </w:r>
      <w:r w:rsidR="009964F4">
        <w:rPr/>
        <w:t xml:space="preserve">If you wish to appoint an overseas student to a position which only covers home </w:t>
      </w:r>
      <w:r w:rsidR="004F3E6C">
        <w:rPr/>
        <w:t>fees,</w:t>
      </w:r>
      <w:r w:rsidR="009964F4">
        <w:rPr/>
        <w:t xml:space="preserve"> then the difference must be covered by the student.</w:t>
      </w:r>
      <w:r w:rsidR="42676948">
        <w:rPr/>
        <w:t xml:space="preserve"> </w:t>
      </w:r>
    </w:p>
    <w:p w:rsidRPr="009964F4" w:rsidR="00DD702D" w:rsidP="009964F4" w:rsidRDefault="00DD702D" w14:paraId="72F0AA18" w14:textId="47601399">
      <w:pPr>
        <w:pStyle w:val="ListParagraph"/>
        <w:numPr>
          <w:ilvl w:val="0"/>
          <w:numId w:val="14"/>
        </w:numPr>
        <w:rPr>
          <w:b/>
          <w:bCs/>
        </w:rPr>
      </w:pPr>
      <w:r w:rsidRPr="009964F4">
        <w:rPr>
          <w:b/>
          <w:bCs/>
        </w:rPr>
        <w:t>Funded Positions</w:t>
      </w:r>
    </w:p>
    <w:p w:rsidR="00DD702D" w:rsidRDefault="00DD702D" w14:paraId="57962F23" w14:textId="66E9CCEE">
      <w:pPr/>
      <w:r w:rsidR="00DD702D">
        <w:rPr/>
        <w:t xml:space="preserve">If you have </w:t>
      </w:r>
      <w:r w:rsidR="0A917E00">
        <w:rPr/>
        <w:t xml:space="preserve">secured </w:t>
      </w:r>
      <w:r w:rsidR="00DD702D">
        <w:rPr/>
        <w:t xml:space="preserve">funding that allows you to recruit a </w:t>
      </w:r>
      <w:r w:rsidR="004F3E6C">
        <w:rPr/>
        <w:t>student,</w:t>
      </w:r>
      <w:r w:rsidR="00DD702D">
        <w:rPr/>
        <w:t xml:space="preserve"> then please ensure that you follow the </w:t>
      </w:r>
      <w:r w:rsidR="0CCD0348">
        <w:rPr/>
        <w:t xml:space="preserve">recruitment </w:t>
      </w:r>
      <w:r w:rsidR="00DD702D">
        <w:rPr/>
        <w:t>procedures</w:t>
      </w:r>
      <w:r w:rsidR="00DD702D">
        <w:rPr/>
        <w:t xml:space="preserve"> laid out by the funder. </w:t>
      </w:r>
    </w:p>
    <w:p w:rsidRPr="009964F4" w:rsidR="00DD702D" w:rsidP="2FD17568" w:rsidRDefault="00DD702D" w14:paraId="3FBAFCE1" w14:textId="42855AF6">
      <w:pPr>
        <w:pStyle w:val="ListParagraph"/>
        <w:numPr>
          <w:ilvl w:val="0"/>
          <w:numId w:val="14"/>
        </w:numPr>
        <w:rPr>
          <w:b w:val="1"/>
          <w:bCs w:val="1"/>
          <w:sz w:val="22"/>
          <w:szCs w:val="22"/>
        </w:rPr>
      </w:pPr>
      <w:r w:rsidR="2A4F6D25">
        <w:rPr/>
        <w:t xml:space="preserve">If you need </w:t>
      </w:r>
      <w:r w:rsidR="2A4F6D25">
        <w:rPr/>
        <w:t>assistanc</w:t>
      </w:r>
      <w:r w:rsidR="2A4F6D25">
        <w:rPr/>
        <w:t>e</w:t>
      </w:r>
      <w:r w:rsidR="2A4F6D25">
        <w:rPr/>
        <w:t xml:space="preserve"> </w:t>
      </w:r>
      <w:r w:rsidR="54BB1312">
        <w:rPr/>
        <w:t>advertising</w:t>
      </w:r>
      <w:r w:rsidR="2A4F6D25">
        <w:rPr/>
        <w:t xml:space="preserve"> the </w:t>
      </w:r>
      <w:r w:rsidR="3DAD9AB7">
        <w:rPr/>
        <w:t>studentship</w:t>
      </w:r>
      <w:r w:rsidR="2A4F6D25">
        <w:rPr/>
        <w:t xml:space="preserve">, </w:t>
      </w:r>
      <w:r w:rsidR="3D182730">
        <w:rPr/>
        <w:t>y</w:t>
      </w:r>
      <w:r w:rsidR="00DD702D">
        <w:rPr/>
        <w:t xml:space="preserve">ou should contact the Research Administrator on </w:t>
      </w:r>
      <w:hyperlink r:id="R28b9b09684ca4c29">
        <w:r w:rsidRPr="2FD17568" w:rsidR="00DD702D">
          <w:rPr>
            <w:rStyle w:val="Hyperlink"/>
          </w:rPr>
          <w:t>p.mullan@qmul.ac.uk</w:t>
        </w:r>
      </w:hyperlink>
      <w:r w:rsidR="00DD702D">
        <w:rPr/>
        <w:t xml:space="preserve"> t</w:t>
      </w:r>
      <w:r w:rsidRPr="2FD17568" w:rsidR="00DD702D">
        <w:rPr>
          <w:b w:val="1"/>
          <w:bCs w:val="1"/>
        </w:rPr>
        <w:t>Ad hoc approaches from funded students</w:t>
      </w:r>
    </w:p>
    <w:p w:rsidRPr="00DD702D" w:rsidR="00DD702D" w:rsidRDefault="00DD702D" w14:paraId="3C0DDD0D" w14:textId="577A4A58">
      <w:r>
        <w:t xml:space="preserve">You may receive expressions of interest from prospective students who have funding and are interested in undertaking a PhD with you as their primary supervisor. In these </w:t>
      </w:r>
      <w:r w:rsidR="004F3E6C">
        <w:t>instances,</w:t>
      </w:r>
      <w:r>
        <w:t xml:space="preserve"> you </w:t>
      </w:r>
      <w:r w:rsidR="00E36EE8">
        <w:t>can</w:t>
      </w:r>
      <w:r>
        <w:t xml:space="preserve"> discuss the project and if you feel it is suitable, then aid the student in developing their project proposal. However, before fully committing to taking on these students please discuss this with the DGS team.</w:t>
      </w:r>
    </w:p>
    <w:p w:rsidRPr="009964F4" w:rsidR="00DD702D" w:rsidP="009964F4" w:rsidRDefault="00DD702D" w14:paraId="72179EAB" w14:textId="77777777">
      <w:pPr>
        <w:pStyle w:val="ListParagraph"/>
        <w:numPr>
          <w:ilvl w:val="0"/>
          <w:numId w:val="14"/>
        </w:numPr>
        <w:rPr>
          <w:b w:val="1"/>
          <w:bCs w:val="1"/>
        </w:rPr>
      </w:pPr>
      <w:r w:rsidRPr="2FD17568" w:rsidR="00DD702D">
        <w:rPr>
          <w:b w:val="1"/>
          <w:bCs w:val="1"/>
        </w:rPr>
        <w:t>Recruiting Self-Funded Students</w:t>
      </w:r>
    </w:p>
    <w:p w:rsidR="009964F4" w:rsidP="00DD702D" w:rsidRDefault="00DD702D" w14:paraId="7A0238E2" w14:textId="77777777">
      <w:r w:rsidRPr="00DD702D">
        <w:t>To ensure a rigorous and fair selection process, all applications from self-funded students must undergo the following steps. This process ensures that self-funded applicants are evaluated with the same level of scrutiny as those applying for funded positions, and that they are fully equipped to successfully undertake a PhD.</w:t>
      </w:r>
    </w:p>
    <w:p w:rsidRPr="00DD702D" w:rsidR="00DD702D" w:rsidP="009964F4" w:rsidRDefault="00DD702D" w14:paraId="4497DB14" w14:textId="40E70CAF">
      <w:pPr>
        <w:pStyle w:val="ListParagraph"/>
        <w:numPr>
          <w:ilvl w:val="0"/>
          <w:numId w:val="17"/>
        </w:numPr>
      </w:pPr>
      <w:r w:rsidRPr="009964F4">
        <w:rPr>
          <w:b/>
          <w:bCs/>
        </w:rPr>
        <w:t xml:space="preserve"> Initial Enquiry and Proposal Development</w:t>
      </w:r>
    </w:p>
    <w:p w:rsidRPr="00DD702D" w:rsidR="00DD702D" w:rsidP="00DD702D" w:rsidRDefault="00DD702D" w14:paraId="10BC72BF" w14:textId="77777777">
      <w:pPr>
        <w:numPr>
          <w:ilvl w:val="0"/>
          <w:numId w:val="1"/>
        </w:numPr>
      </w:pPr>
      <w:r w:rsidRPr="00DD702D">
        <w:t>Students may approach you directly via email or through an application submitted via the MySIS portal, which will be forwarded to you by the Research Administrator.</w:t>
      </w:r>
    </w:p>
    <w:p w:rsidRPr="00DD702D" w:rsidR="00DD702D" w:rsidP="00DD702D" w:rsidRDefault="00DD702D" w14:paraId="288AD31E" w14:textId="77777777">
      <w:pPr>
        <w:numPr>
          <w:ilvl w:val="0"/>
          <w:numId w:val="1"/>
        </w:numPr>
      </w:pPr>
      <w:r w:rsidRPr="00DD702D">
        <w:t>You may engage in preliminary discussions to understand the student’s research interests and provide guidance on refining their proposal.</w:t>
      </w:r>
    </w:p>
    <w:p w:rsidR="009964F4" w:rsidP="009964F4" w:rsidRDefault="004F3E6C" w14:paraId="65035AC3" w14:textId="4758DEC6">
      <w:pPr>
        <w:numPr>
          <w:ilvl w:val="0"/>
          <w:numId w:val="1"/>
        </w:numPr>
      </w:pPr>
      <w:r w:rsidRPr="00DD702D">
        <w:rPr>
          <w:b/>
          <w:bCs/>
        </w:rPr>
        <w:t>Keynote</w:t>
      </w:r>
      <w:r w:rsidRPr="00DD702D" w:rsidR="00DD702D">
        <w:t>: The project proposal must ultimately be the student's own work. Supervisors may advise but should not draft or overly shape the proposal.</w:t>
      </w:r>
    </w:p>
    <w:p w:rsidRPr="009964F4" w:rsidR="009964F4" w:rsidP="009964F4" w:rsidRDefault="00DD702D" w14:paraId="162AD007" w14:textId="79018C43">
      <w:pPr>
        <w:pStyle w:val="ListParagraph"/>
        <w:numPr>
          <w:ilvl w:val="0"/>
          <w:numId w:val="17"/>
        </w:numPr>
        <w:rPr>
          <w:b/>
          <w:bCs/>
        </w:rPr>
      </w:pPr>
      <w:r w:rsidRPr="009964F4">
        <w:rPr>
          <w:b/>
          <w:bCs/>
        </w:rPr>
        <w:t>Eligibility Criteria</w:t>
      </w:r>
    </w:p>
    <w:p w:rsidRPr="00DD702D" w:rsidR="00DD702D" w:rsidP="00DD702D" w:rsidRDefault="00DD702D" w14:paraId="7E550674" w14:textId="77777777">
      <w:r w:rsidRPr="00DD702D">
        <w:t>To proceed with the application, students must meet the following minimum requirements:</w:t>
      </w:r>
    </w:p>
    <w:p w:rsidRPr="00DD702D" w:rsidR="00DD702D" w:rsidP="00DD702D" w:rsidRDefault="00DD702D" w14:paraId="1EE58C99" w14:textId="77777777">
      <w:pPr>
        <w:numPr>
          <w:ilvl w:val="0"/>
          <w:numId w:val="2"/>
        </w:numPr>
      </w:pPr>
      <w:r w:rsidRPr="00DD702D">
        <w:rPr>
          <w:b/>
          <w:bCs/>
        </w:rPr>
        <w:t>Academic Qualifications</w:t>
      </w:r>
      <w:r w:rsidRPr="00DD702D">
        <w:t>: At least an upper second-class degree (or international equivalent) in a relevant subject.</w:t>
      </w:r>
    </w:p>
    <w:p w:rsidRPr="00DD702D" w:rsidR="00DD702D" w:rsidP="00DD702D" w:rsidRDefault="00DD702D" w14:paraId="674F982E" w14:textId="77777777">
      <w:pPr>
        <w:numPr>
          <w:ilvl w:val="0"/>
          <w:numId w:val="2"/>
        </w:numPr>
      </w:pPr>
      <w:r w:rsidRPr="00DD702D">
        <w:rPr>
          <w:b/>
          <w:bCs/>
        </w:rPr>
        <w:t>Professional Qualifications</w:t>
      </w:r>
      <w:r w:rsidRPr="00DD702D">
        <w:t>: Other qualifications or work-related expertise may be considered, particularly for interdisciplinary or applied research topics. These should be discussed and agreed upon with the Directors of Graduate Studies.</w:t>
      </w:r>
    </w:p>
    <w:p w:rsidRPr="009964F4" w:rsidR="00DD702D" w:rsidP="009964F4" w:rsidRDefault="00DD702D" w14:paraId="2B548D13" w14:textId="629DEFC5">
      <w:pPr>
        <w:pStyle w:val="ListParagraph"/>
        <w:numPr>
          <w:ilvl w:val="0"/>
          <w:numId w:val="17"/>
        </w:numPr>
        <w:rPr>
          <w:b/>
          <w:bCs/>
        </w:rPr>
      </w:pPr>
      <w:r w:rsidRPr="009964F4">
        <w:rPr>
          <w:b/>
          <w:bCs/>
        </w:rPr>
        <w:t>Submission Requirements</w:t>
      </w:r>
    </w:p>
    <w:p w:rsidRPr="009964F4" w:rsidR="009964F4" w:rsidP="009964F4" w:rsidRDefault="009964F4" w14:paraId="3A296F41" w14:textId="77777777">
      <w:pPr>
        <w:pStyle w:val="ListParagraph"/>
        <w:rPr>
          <w:b/>
          <w:bCs/>
        </w:rPr>
      </w:pPr>
    </w:p>
    <w:p w:rsidRPr="00DD702D" w:rsidR="00DD702D" w:rsidP="00DD702D" w:rsidRDefault="00DD702D" w14:paraId="65B4CE5E" w14:textId="77777777">
      <w:r w:rsidRPr="00DD702D">
        <w:t xml:space="preserve">Evaluating the submitted writing sample is a critical step in assessing whether the candidate has the necessary skills and expertise to undertake a PhD. </w:t>
      </w:r>
    </w:p>
    <w:p w:rsidRPr="00DD702D" w:rsidR="00DD702D" w:rsidP="00DD702D" w:rsidRDefault="00DD702D" w14:paraId="645DDC64" w14:textId="77777777">
      <w:r w:rsidRPr="00DD702D">
        <w:t>Prospective students must submit:</w:t>
      </w:r>
    </w:p>
    <w:p w:rsidRPr="00DD702D" w:rsidR="00DD702D" w:rsidP="00DD702D" w:rsidRDefault="00DD702D" w14:paraId="7FDCC5E9" w14:textId="77777777">
      <w:pPr>
        <w:numPr>
          <w:ilvl w:val="0"/>
          <w:numId w:val="3"/>
        </w:numPr>
        <w:rPr/>
      </w:pPr>
      <w:r w:rsidR="00DD702D">
        <w:rPr/>
        <w:t xml:space="preserve">A detailed research proposal, developed independently by the applicant, that aligns with their research interests and the </w:t>
      </w:r>
      <w:r w:rsidR="00DD702D">
        <w:rPr/>
        <w:t>expertise</w:t>
      </w:r>
      <w:r w:rsidR="00DD702D">
        <w:rPr/>
        <w:t xml:space="preserve"> of the proposed supervisory team.</w:t>
      </w:r>
    </w:p>
    <w:p w:rsidR="5DEE7A6E" w:rsidP="5F997025" w:rsidRDefault="5DEE7A6E" w14:paraId="092D920A" w14:textId="679E43EF">
      <w:pPr>
        <w:ind w:left="720"/>
      </w:pPr>
      <w:r w:rsidR="5DEE7A6E">
        <w:rPr/>
        <w:t>AND</w:t>
      </w:r>
    </w:p>
    <w:p w:rsidRPr="00DD702D" w:rsidR="00DD702D" w:rsidP="00DD702D" w:rsidRDefault="00DD702D" w14:paraId="53A176D3" w14:textId="77777777" w14:noSpellErr="1">
      <w:pPr>
        <w:numPr>
          <w:ilvl w:val="0"/>
          <w:numId w:val="3"/>
        </w:numPr>
        <w:rPr/>
      </w:pPr>
      <w:r w:rsidR="00DD702D">
        <w:rPr/>
        <w:t xml:space="preserve">A sample of written work, which may be: </w:t>
      </w:r>
    </w:p>
    <w:p w:rsidRPr="00DD702D" w:rsidR="00DD702D" w:rsidP="00DD702D" w:rsidRDefault="00DD702D" w14:paraId="74586E2A" w14:textId="77777777">
      <w:pPr>
        <w:numPr>
          <w:ilvl w:val="1"/>
          <w:numId w:val="3"/>
        </w:numPr>
      </w:pPr>
      <w:r w:rsidRPr="00DD702D">
        <w:t>A Masters or Undergraduate dissertation, or</w:t>
      </w:r>
    </w:p>
    <w:p w:rsidRPr="00DD702D" w:rsidR="00DD702D" w:rsidP="00DD702D" w:rsidRDefault="00DD702D" w14:paraId="7F874893" w14:textId="77777777">
      <w:pPr>
        <w:numPr>
          <w:ilvl w:val="1"/>
          <w:numId w:val="3"/>
        </w:numPr>
      </w:pPr>
      <w:r w:rsidRPr="00DD702D">
        <w:t>A published or submitted academic article, or equivalent.</w:t>
      </w:r>
    </w:p>
    <w:p w:rsidRPr="00DD702D" w:rsidR="00DD702D" w:rsidP="00DD702D" w:rsidRDefault="00DD702D" w14:paraId="03F83168" w14:textId="77777777"/>
    <w:p w:rsidRPr="00DD702D" w:rsidR="00DD702D" w:rsidP="00DD702D" w:rsidRDefault="00DD702D" w14:paraId="638C1BF3" w14:textId="14192BE0">
      <w:r w:rsidRPr="00DD702D">
        <w:t xml:space="preserve">The proposed primary supervisor is responsible for conducting an initial assessment of the submitted piece of writing and research proposal. While this task does not require formal documentation, the supervisor must be convinced that the candidate’s submission demonstrates the following criteria before proceeding to the formal interview stage (some examples of questions to </w:t>
      </w:r>
      <w:r w:rsidRPr="00DD702D" w:rsidR="004F3E6C">
        <w:t>assess</w:t>
      </w:r>
      <w:r w:rsidRPr="00DD702D">
        <w:t xml:space="preserve"> this are provided):</w:t>
      </w:r>
    </w:p>
    <w:p w:rsidRPr="00DD702D" w:rsidR="00DD702D" w:rsidP="00DD702D" w:rsidRDefault="00DD702D" w14:paraId="111929D3" w14:textId="77777777">
      <w:r w:rsidRPr="00DD702D">
        <w:rPr>
          <w:b/>
          <w:bCs/>
        </w:rPr>
        <w:t>A. Academic Rigor</w:t>
      </w:r>
    </w:p>
    <w:p w:rsidRPr="00DD702D" w:rsidR="00DD702D" w:rsidP="00DD702D" w:rsidRDefault="00DD702D" w14:paraId="0D663063" w14:textId="77777777">
      <w:pPr>
        <w:numPr>
          <w:ilvl w:val="0"/>
          <w:numId w:val="4"/>
        </w:numPr>
      </w:pPr>
      <w:r w:rsidRPr="00DD702D">
        <w:t>Is the writing well-structured and logically organised?</w:t>
      </w:r>
    </w:p>
    <w:p w:rsidRPr="00DD702D" w:rsidR="00DD702D" w:rsidP="00DD702D" w:rsidRDefault="00DD702D" w14:paraId="245B0A4D" w14:textId="77777777">
      <w:pPr>
        <w:numPr>
          <w:ilvl w:val="0"/>
          <w:numId w:val="4"/>
        </w:numPr>
      </w:pPr>
      <w:r w:rsidRPr="00DD702D">
        <w:t>Does the argument or narrative flow clearly, with a coherent introduction, body, and conclusion?</w:t>
      </w:r>
    </w:p>
    <w:p w:rsidRPr="00DD702D" w:rsidR="00DD702D" w:rsidP="00DD702D" w:rsidRDefault="00DD702D" w14:paraId="53A6F8A0" w14:textId="77777777">
      <w:pPr>
        <w:numPr>
          <w:ilvl w:val="0"/>
          <w:numId w:val="4"/>
        </w:numPr>
      </w:pPr>
      <w:r w:rsidRPr="00DD702D">
        <w:t>Are claims supported by appropriate evidence, data, or citations?</w:t>
      </w:r>
    </w:p>
    <w:p w:rsidRPr="00DD702D" w:rsidR="00DD702D" w:rsidP="00DD702D" w:rsidRDefault="00DD702D" w14:paraId="479CE4FF" w14:textId="77777777">
      <w:pPr>
        <w:numPr>
          <w:ilvl w:val="0"/>
          <w:numId w:val="4"/>
        </w:numPr>
      </w:pPr>
      <w:r w:rsidRPr="00DD702D">
        <w:t>Is there a critical analysis of the evidence or subject matter, rather than just a description?</w:t>
      </w:r>
    </w:p>
    <w:p w:rsidRPr="00DD702D" w:rsidR="00DD702D" w:rsidP="00DD702D" w:rsidRDefault="00DD702D" w14:paraId="6909E06D" w14:textId="77777777">
      <w:r w:rsidRPr="00DD702D">
        <w:rPr>
          <w:b/>
          <w:bCs/>
        </w:rPr>
        <w:t>B. Writing Style and Clarity</w:t>
      </w:r>
    </w:p>
    <w:p w:rsidRPr="00DD702D" w:rsidR="00DD702D" w:rsidP="00DD702D" w:rsidRDefault="00DD702D" w14:paraId="3AF3B4FA" w14:textId="77777777">
      <w:pPr>
        <w:numPr>
          <w:ilvl w:val="0"/>
          <w:numId w:val="5"/>
        </w:numPr>
      </w:pPr>
      <w:r w:rsidRPr="00DD702D">
        <w:t>Is the writing clear, concise, and free of unnecessary jargon?</w:t>
      </w:r>
    </w:p>
    <w:p w:rsidRPr="00DD702D" w:rsidR="00DD702D" w:rsidP="00DD702D" w:rsidRDefault="00DD702D" w14:paraId="3272AC91" w14:textId="77777777">
      <w:pPr>
        <w:numPr>
          <w:ilvl w:val="0"/>
          <w:numId w:val="5"/>
        </w:numPr>
      </w:pPr>
      <w:r w:rsidRPr="00DD702D">
        <w:t>Are complex ideas effectively communicated in an accessible way?</w:t>
      </w:r>
    </w:p>
    <w:p w:rsidRPr="00DD702D" w:rsidR="00DD702D" w:rsidP="00DD702D" w:rsidRDefault="00DD702D" w14:paraId="74531708" w14:textId="77777777">
      <w:pPr>
        <w:numPr>
          <w:ilvl w:val="0"/>
          <w:numId w:val="5"/>
        </w:numPr>
      </w:pPr>
      <w:r w:rsidRPr="00DD702D">
        <w:t>Does the writing adhere to the conventions of academic writing (e.g., grammar, syntax, tone)?</w:t>
      </w:r>
    </w:p>
    <w:p w:rsidRPr="00DD702D" w:rsidR="00DD702D" w:rsidP="00DD702D" w:rsidRDefault="00DD702D" w14:paraId="32A77E60" w14:textId="77777777">
      <w:r w:rsidRPr="00DD702D">
        <w:rPr>
          <w:b/>
          <w:bCs/>
        </w:rPr>
        <w:t>C. Depth of Knowledge</w:t>
      </w:r>
    </w:p>
    <w:p w:rsidRPr="00DD702D" w:rsidR="00DD702D" w:rsidP="00DD702D" w:rsidRDefault="00DD702D" w14:paraId="5EA7F513" w14:textId="77777777">
      <w:pPr>
        <w:numPr>
          <w:ilvl w:val="0"/>
          <w:numId w:val="6"/>
        </w:numPr>
      </w:pPr>
      <w:r w:rsidRPr="00DD702D">
        <w:t>Does the writing demonstrate a strong understanding of the topic?</w:t>
      </w:r>
    </w:p>
    <w:p w:rsidRPr="00DD702D" w:rsidR="00DD702D" w:rsidP="00DD702D" w:rsidRDefault="00DD702D" w14:paraId="6C71CFB0" w14:textId="77777777">
      <w:pPr>
        <w:numPr>
          <w:ilvl w:val="0"/>
          <w:numId w:val="6"/>
        </w:numPr>
      </w:pPr>
      <w:r w:rsidRPr="00DD702D">
        <w:t>Is there evidence of engagement with relevant literature, theories, or frameworks?</w:t>
      </w:r>
    </w:p>
    <w:p w:rsidRPr="00DD702D" w:rsidR="00DD702D" w:rsidP="00DD702D" w:rsidRDefault="00DD702D" w14:paraId="65398174" w14:textId="77777777">
      <w:pPr>
        <w:numPr>
          <w:ilvl w:val="0"/>
          <w:numId w:val="6"/>
        </w:numPr>
      </w:pPr>
      <w:r w:rsidRPr="00DD702D">
        <w:t>Does the candidate identify gaps in knowledge or suggest areas for future research?</w:t>
      </w:r>
    </w:p>
    <w:p w:rsidRPr="00DD702D" w:rsidR="00DD702D" w:rsidP="00DD702D" w:rsidRDefault="00DD702D" w14:paraId="6A283C58" w14:textId="77777777">
      <w:r w:rsidRPr="00DD702D">
        <w:rPr>
          <w:b/>
          <w:bCs/>
        </w:rPr>
        <w:t>D. Methodological Competence (if applicable)</w:t>
      </w:r>
    </w:p>
    <w:p w:rsidRPr="00DD702D" w:rsidR="00DD702D" w:rsidP="00DD702D" w:rsidRDefault="00DD702D" w14:paraId="249FE9D1" w14:textId="77777777">
      <w:pPr>
        <w:numPr>
          <w:ilvl w:val="0"/>
          <w:numId w:val="7"/>
        </w:numPr>
      </w:pPr>
      <w:r w:rsidRPr="00DD702D">
        <w:t>For research-based writing, does the candidate demonstrate an understanding of research methods and their application?</w:t>
      </w:r>
    </w:p>
    <w:p w:rsidRPr="00DD702D" w:rsidR="00DD702D" w:rsidP="00DD702D" w:rsidRDefault="00DD702D" w14:paraId="25D9B558" w14:textId="77777777">
      <w:pPr>
        <w:numPr>
          <w:ilvl w:val="0"/>
          <w:numId w:val="7"/>
        </w:numPr>
      </w:pPr>
      <w:r w:rsidRPr="00DD702D">
        <w:t>Is the methodology sound, clearly explained, and appropriate for the research question?</w:t>
      </w:r>
    </w:p>
    <w:p w:rsidRPr="00DD702D" w:rsidR="00DD702D" w:rsidP="00DD702D" w:rsidRDefault="00DD702D" w14:paraId="2C0EB036" w14:textId="77777777">
      <w:r w:rsidRPr="00DD702D">
        <w:rPr>
          <w:b/>
          <w:bCs/>
        </w:rPr>
        <w:t>E. Originality and Critical Thinking</w:t>
      </w:r>
    </w:p>
    <w:p w:rsidRPr="00DD702D" w:rsidR="00DD702D" w:rsidP="00DD702D" w:rsidRDefault="00DD702D" w14:paraId="4A8AC6C8" w14:textId="77777777">
      <w:pPr>
        <w:numPr>
          <w:ilvl w:val="0"/>
          <w:numId w:val="8"/>
        </w:numPr>
      </w:pPr>
      <w:r w:rsidRPr="00DD702D">
        <w:t>Does the writing reflect the candidate's ability to think critically and independently?</w:t>
      </w:r>
    </w:p>
    <w:p w:rsidRPr="00DD702D" w:rsidR="00DD702D" w:rsidP="00DD702D" w:rsidRDefault="00DD702D" w14:paraId="48F8C537" w14:textId="77777777">
      <w:pPr>
        <w:numPr>
          <w:ilvl w:val="0"/>
          <w:numId w:val="8"/>
        </w:numPr>
      </w:pPr>
      <w:r w:rsidRPr="00DD702D">
        <w:t>Is there evidence of original thought, innovative ideas, or unique perspectives?</w:t>
      </w:r>
    </w:p>
    <w:p w:rsidRPr="009964F4" w:rsidR="009964F4" w:rsidP="009964F4" w:rsidRDefault="00DD702D" w14:paraId="332CFF61" w14:textId="51F04E01">
      <w:pPr>
        <w:pStyle w:val="ListParagraph"/>
        <w:numPr>
          <w:ilvl w:val="0"/>
          <w:numId w:val="17"/>
        </w:numPr>
        <w:rPr>
          <w:b/>
          <w:bCs/>
        </w:rPr>
      </w:pPr>
      <w:r w:rsidRPr="009964F4">
        <w:rPr>
          <w:b/>
          <w:bCs/>
        </w:rPr>
        <w:t>Interview Process</w:t>
      </w:r>
    </w:p>
    <w:p w:rsidRPr="00DD702D" w:rsidR="00DD702D" w:rsidP="00DD702D" w:rsidRDefault="00DD702D" w14:paraId="05E0F2DC" w14:textId="77777777">
      <w:r w:rsidRPr="00DD702D">
        <w:t>If the candidate meets the eligibility criteria and their written work is deemed acceptable, a formal interview must be arranged to assess their overall suitability for PhD study. The process includes:</w:t>
      </w:r>
    </w:p>
    <w:p w:rsidRPr="00DD702D" w:rsidR="00DD702D" w:rsidP="00DD702D" w:rsidRDefault="00DD702D" w14:paraId="21D18FA1" w14:textId="77777777">
      <w:pPr>
        <w:numPr>
          <w:ilvl w:val="0"/>
          <w:numId w:val="9"/>
        </w:numPr>
      </w:pPr>
      <w:r w:rsidRPr="00DD702D">
        <w:rPr>
          <w:b/>
          <w:bCs/>
        </w:rPr>
        <w:t>Interview Panel Composition</w:t>
      </w:r>
      <w:r w:rsidRPr="00DD702D">
        <w:t>:</w:t>
      </w:r>
    </w:p>
    <w:p w:rsidRPr="00DD702D" w:rsidR="00DD702D" w:rsidP="00DD702D" w:rsidRDefault="00DD702D" w14:paraId="7F7FE5AE" w14:textId="77777777">
      <w:pPr>
        <w:numPr>
          <w:ilvl w:val="1"/>
          <w:numId w:val="9"/>
        </w:numPr>
      </w:pPr>
      <w:r w:rsidRPr="00DD702D">
        <w:t>The proposed primary supervisor.</w:t>
      </w:r>
    </w:p>
    <w:p w:rsidRPr="00DD702D" w:rsidR="00DD702D" w:rsidP="00DD702D" w:rsidRDefault="00DD702D" w14:paraId="689B4E60" w14:textId="77777777">
      <w:pPr>
        <w:numPr>
          <w:ilvl w:val="1"/>
          <w:numId w:val="9"/>
        </w:numPr>
      </w:pPr>
      <w:r w:rsidRPr="00DD702D">
        <w:t>A Centre Lead or equivalent senior faculty member.</w:t>
      </w:r>
    </w:p>
    <w:p w:rsidRPr="00DD702D" w:rsidR="00DD702D" w:rsidP="00DD702D" w:rsidRDefault="00DD702D" w14:paraId="291AB6FB" w14:textId="77777777">
      <w:pPr>
        <w:numPr>
          <w:ilvl w:val="1"/>
          <w:numId w:val="9"/>
        </w:numPr>
      </w:pPr>
      <w:r w:rsidRPr="00DD702D">
        <w:t>A Director of Graduate Studies (DGS).</w:t>
      </w:r>
    </w:p>
    <w:p w:rsidRPr="00DD702D" w:rsidR="00DD702D" w:rsidP="00DD702D" w:rsidRDefault="00DD702D" w14:paraId="00EA8990" w14:textId="77777777">
      <w:pPr>
        <w:numPr>
          <w:ilvl w:val="0"/>
          <w:numId w:val="9"/>
        </w:numPr>
      </w:pPr>
      <w:r w:rsidRPr="00DD702D">
        <w:rPr>
          <w:b/>
          <w:bCs/>
        </w:rPr>
        <w:t>Interview Preparation</w:t>
      </w:r>
      <w:r w:rsidRPr="00DD702D">
        <w:t>:</w:t>
      </w:r>
    </w:p>
    <w:p w:rsidRPr="00DD702D" w:rsidR="00DD702D" w:rsidP="00DD702D" w:rsidRDefault="00DD702D" w14:paraId="40AC0CA3" w14:textId="77777777">
      <w:pPr>
        <w:numPr>
          <w:ilvl w:val="1"/>
          <w:numId w:val="9"/>
        </w:numPr>
      </w:pPr>
      <w:r w:rsidRPr="00DD702D">
        <w:t>A set of structured questions must be prepared in advance, focusing on the applicant’s research proposal, academic background, and suitability for PhD-level work.</w:t>
      </w:r>
    </w:p>
    <w:p w:rsidRPr="00DD702D" w:rsidR="00DD702D" w:rsidP="00DD702D" w:rsidRDefault="00DD702D" w14:paraId="236DB351" w14:textId="77777777">
      <w:pPr>
        <w:numPr>
          <w:ilvl w:val="1"/>
          <w:numId w:val="9"/>
        </w:numPr>
      </w:pPr>
      <w:r w:rsidRPr="00DD702D">
        <w:t>Clear assessment criteria must be developed and shared with all panellists before the interview. Assistance in drafting questions and criteria can be sought from the DGS or Research Administrator.</w:t>
      </w:r>
    </w:p>
    <w:p w:rsidRPr="00DD702D" w:rsidR="00DD702D" w:rsidP="00DD702D" w:rsidRDefault="00DD702D" w14:paraId="4284F129" w14:textId="77777777">
      <w:pPr>
        <w:numPr>
          <w:ilvl w:val="0"/>
          <w:numId w:val="9"/>
        </w:numPr>
      </w:pPr>
      <w:r w:rsidRPr="00DD702D">
        <w:rPr>
          <w:b/>
          <w:bCs/>
        </w:rPr>
        <w:t>Interview Format</w:t>
      </w:r>
      <w:r w:rsidRPr="00DD702D">
        <w:t>:</w:t>
      </w:r>
    </w:p>
    <w:p w:rsidRPr="00DD702D" w:rsidR="00DD702D" w:rsidP="00DD702D" w:rsidRDefault="00DD702D" w14:paraId="0124775B" w14:textId="77777777">
      <w:pPr>
        <w:numPr>
          <w:ilvl w:val="1"/>
          <w:numId w:val="9"/>
        </w:numPr>
      </w:pPr>
      <w:r w:rsidRPr="00DD702D">
        <w:t>The interview should follow the standard QMUL process for PhD interviews.</w:t>
      </w:r>
    </w:p>
    <w:p w:rsidRPr="00DD702D" w:rsidR="00DD702D" w:rsidP="00DD702D" w:rsidRDefault="00DD702D" w14:paraId="6F03A025" w14:textId="77777777">
      <w:pPr>
        <w:numPr>
          <w:ilvl w:val="1"/>
          <w:numId w:val="9"/>
        </w:numPr>
      </w:pPr>
      <w:r w:rsidRPr="00DD702D">
        <w:t>It should assess the applicant’s ability to articulate their research idea, their understanding of the subject area, and their preparedness for independent study, the following criteria can be used:</w:t>
      </w:r>
    </w:p>
    <w:p w:rsidRPr="00DD702D" w:rsidR="00DD702D" w:rsidP="00DD702D" w:rsidRDefault="00DD702D" w14:paraId="79238D39" w14:textId="77777777">
      <w:r w:rsidRPr="00DD702D">
        <w:rPr>
          <w:b/>
          <w:bCs/>
        </w:rPr>
        <w:t>Criteria for Evaluation</w:t>
      </w:r>
      <w:r w:rsidRPr="00DD702D">
        <w:br/>
      </w:r>
      <w:r w:rsidRPr="00DD702D">
        <w:t>The interview should assess the following areas:</w:t>
      </w:r>
    </w:p>
    <w:p w:rsidRPr="00DD702D" w:rsidR="00DD702D" w:rsidP="00DD702D" w:rsidRDefault="00DD702D" w14:paraId="63EDAABB" w14:textId="77777777">
      <w:pPr>
        <w:numPr>
          <w:ilvl w:val="0"/>
          <w:numId w:val="9"/>
        </w:numPr>
      </w:pPr>
      <w:r w:rsidRPr="00DD702D">
        <w:rPr>
          <w:b/>
          <w:bCs/>
        </w:rPr>
        <w:t>Understanding of the Research Proposal</w:t>
      </w:r>
    </w:p>
    <w:p w:rsidRPr="00DD702D" w:rsidR="00DD702D" w:rsidP="00DD702D" w:rsidRDefault="00DD702D" w14:paraId="2FBBBED9" w14:textId="77777777">
      <w:pPr>
        <w:numPr>
          <w:ilvl w:val="1"/>
          <w:numId w:val="9"/>
        </w:numPr>
      </w:pPr>
      <w:r w:rsidRPr="00DD702D">
        <w:t>Ability to articulate the research aims and objectives.</w:t>
      </w:r>
    </w:p>
    <w:p w:rsidRPr="00DD702D" w:rsidR="00DD702D" w:rsidP="00DD702D" w:rsidRDefault="00DD702D" w14:paraId="5095486C" w14:textId="77777777">
      <w:pPr>
        <w:numPr>
          <w:ilvl w:val="1"/>
          <w:numId w:val="9"/>
        </w:numPr>
      </w:pPr>
      <w:r w:rsidRPr="00DD702D">
        <w:t>Awareness of the research's significance and originality.</w:t>
      </w:r>
    </w:p>
    <w:p w:rsidRPr="00DD702D" w:rsidR="00DD702D" w:rsidP="00DD702D" w:rsidRDefault="00DD702D" w14:paraId="0A083CEA" w14:textId="77777777">
      <w:pPr>
        <w:numPr>
          <w:ilvl w:val="1"/>
          <w:numId w:val="9"/>
        </w:numPr>
      </w:pPr>
      <w:r w:rsidRPr="00DD702D">
        <w:t xml:space="preserve">Understanding of the methodological approach, </w:t>
      </w:r>
      <w:r w:rsidRPr="00DD702D">
        <w:rPr>
          <w:b/>
          <w:bCs/>
        </w:rPr>
        <w:t>including strengths and limitations of the approach</w:t>
      </w:r>
    </w:p>
    <w:p w:rsidRPr="00DD702D" w:rsidR="00DD702D" w:rsidP="00DD702D" w:rsidRDefault="00DD702D" w14:paraId="7915A323" w14:textId="77777777">
      <w:pPr>
        <w:numPr>
          <w:ilvl w:val="0"/>
          <w:numId w:val="9"/>
        </w:numPr>
      </w:pPr>
      <w:r w:rsidRPr="00DD702D">
        <w:rPr>
          <w:b/>
          <w:bCs/>
        </w:rPr>
        <w:t>Academic Background and Skills</w:t>
      </w:r>
    </w:p>
    <w:p w:rsidRPr="00DD702D" w:rsidR="00DD702D" w:rsidP="00DD702D" w:rsidRDefault="00DD702D" w14:paraId="4E207684" w14:textId="77777777">
      <w:pPr>
        <w:numPr>
          <w:ilvl w:val="1"/>
          <w:numId w:val="9"/>
        </w:numPr>
      </w:pPr>
      <w:r w:rsidRPr="00DD702D">
        <w:t>Demonstrated knowledge of the subject area.</w:t>
      </w:r>
    </w:p>
    <w:p w:rsidRPr="00DD702D" w:rsidR="00DD702D" w:rsidP="00DD702D" w:rsidRDefault="00DD702D" w14:paraId="4E6F8915" w14:textId="77777777">
      <w:pPr>
        <w:numPr>
          <w:ilvl w:val="1"/>
          <w:numId w:val="9"/>
        </w:numPr>
      </w:pPr>
      <w:r w:rsidRPr="00DD702D">
        <w:t>Relevant skills and experience to undertake the research (e.g., analytical skills, prior research experience).</w:t>
      </w:r>
    </w:p>
    <w:p w:rsidRPr="00DD702D" w:rsidR="00DD702D" w:rsidP="70D2DF99" w:rsidRDefault="00DD702D" w14:paraId="27EAD062" w14:textId="77777777">
      <w:pPr>
        <w:numPr>
          <w:ilvl w:val="1"/>
          <w:numId w:val="9"/>
        </w:numPr>
        <w:rPr>
          <w:b w:val="0"/>
          <w:bCs w:val="0"/>
        </w:rPr>
      </w:pPr>
      <w:r w:rsidR="00DD702D">
        <w:rPr>
          <w:b w:val="0"/>
          <w:bCs w:val="0"/>
        </w:rPr>
        <w:t xml:space="preserve">Awareness of areas where skills need further development </w:t>
      </w:r>
    </w:p>
    <w:p w:rsidRPr="00DD702D" w:rsidR="00DD702D" w:rsidP="00DD702D" w:rsidRDefault="00DD702D" w14:paraId="76490CB3" w14:textId="77777777">
      <w:pPr>
        <w:numPr>
          <w:ilvl w:val="0"/>
          <w:numId w:val="9"/>
        </w:numPr>
      </w:pPr>
      <w:r w:rsidRPr="00DD702D">
        <w:rPr>
          <w:b/>
          <w:bCs/>
        </w:rPr>
        <w:t>Motivation and Commitment</w:t>
      </w:r>
    </w:p>
    <w:p w:rsidRPr="00DD702D" w:rsidR="00DD702D" w:rsidP="00DD702D" w:rsidRDefault="00DD702D" w14:paraId="6B792BB5" w14:textId="77777777">
      <w:pPr>
        <w:numPr>
          <w:ilvl w:val="1"/>
          <w:numId w:val="9"/>
        </w:numPr>
      </w:pPr>
      <w:r w:rsidRPr="00DD702D">
        <w:t>Reasons for pursuing a PhD.</w:t>
      </w:r>
    </w:p>
    <w:p w:rsidRPr="00DD702D" w:rsidR="00DD702D" w:rsidP="00DD702D" w:rsidRDefault="00DD702D" w14:paraId="228EA230" w14:textId="77777777">
      <w:pPr>
        <w:numPr>
          <w:ilvl w:val="1"/>
          <w:numId w:val="9"/>
        </w:numPr>
      </w:pPr>
      <w:r w:rsidRPr="00DD702D">
        <w:t>Awareness of the challenges of PhD study and strategies for managing them.</w:t>
      </w:r>
    </w:p>
    <w:p w:rsidRPr="00DD702D" w:rsidR="00DD702D" w:rsidP="70D2DF99" w:rsidRDefault="00DD702D" w14:paraId="54F0C069" w14:textId="77777777">
      <w:pPr>
        <w:numPr>
          <w:ilvl w:val="0"/>
          <w:numId w:val="10"/>
        </w:numPr>
        <w:rPr>
          <w:b w:val="0"/>
          <w:bCs w:val="0"/>
        </w:rPr>
      </w:pPr>
      <w:r w:rsidR="00DD702D">
        <w:rPr>
          <w:b w:val="0"/>
          <w:bCs w:val="0"/>
        </w:rPr>
        <w:t>Discussion of how PhD will be funded, and if the student plans to work, how will they balance work with PhD commitments (including need to complete skills training points and engagement with centre and institute wide activities). The student should be aware of the types of costs that they will need to fund (fees, research, travel, as well as possible living expenses).</w:t>
      </w:r>
    </w:p>
    <w:p w:rsidRPr="00DD702D" w:rsidR="00DD702D" w:rsidP="00DD702D" w:rsidRDefault="00DD702D" w14:paraId="33126618" w14:textId="77777777">
      <w:pPr>
        <w:numPr>
          <w:ilvl w:val="0"/>
          <w:numId w:val="9"/>
        </w:numPr>
      </w:pPr>
      <w:r w:rsidRPr="00DD702D">
        <w:rPr>
          <w:b/>
          <w:bCs/>
        </w:rPr>
        <w:t>Alignment with Supervisory Expertise</w:t>
      </w:r>
    </w:p>
    <w:p w:rsidRPr="00DD702D" w:rsidR="00DD702D" w:rsidP="00DD702D" w:rsidRDefault="00DD702D" w14:paraId="63E37A69" w14:textId="77777777">
      <w:pPr>
        <w:numPr>
          <w:ilvl w:val="1"/>
          <w:numId w:val="9"/>
        </w:numPr>
      </w:pPr>
      <w:r w:rsidRPr="00DD702D">
        <w:t>Fit between the candidate's research interests and the expertise of the proposed supervisor.</w:t>
      </w:r>
    </w:p>
    <w:p w:rsidRPr="00DD702D" w:rsidR="00DD702D" w:rsidP="00DD702D" w:rsidRDefault="00DD702D" w14:paraId="28DC0A3A" w14:textId="77777777">
      <w:pPr>
        <w:numPr>
          <w:ilvl w:val="0"/>
          <w:numId w:val="9"/>
        </w:numPr>
      </w:pPr>
      <w:r w:rsidRPr="00DD702D">
        <w:rPr>
          <w:b/>
          <w:bCs/>
        </w:rPr>
        <w:t>Communication and Critical Thinking</w:t>
      </w:r>
    </w:p>
    <w:p w:rsidRPr="00DD702D" w:rsidR="00DD702D" w:rsidP="00DD702D" w:rsidRDefault="00DD702D" w14:paraId="1C81251F" w14:textId="77777777">
      <w:pPr>
        <w:numPr>
          <w:ilvl w:val="1"/>
          <w:numId w:val="9"/>
        </w:numPr>
      </w:pPr>
      <w:r w:rsidRPr="00DD702D">
        <w:t>Ability to respond to questions clearly and thoughtfully.</w:t>
      </w:r>
    </w:p>
    <w:p w:rsidRPr="00DD702D" w:rsidR="00DD702D" w:rsidP="00DD702D" w:rsidRDefault="00DD702D" w14:paraId="2179C5C5" w14:textId="77777777">
      <w:pPr>
        <w:numPr>
          <w:ilvl w:val="1"/>
          <w:numId w:val="9"/>
        </w:numPr>
      </w:pPr>
      <w:r w:rsidRPr="00DD702D">
        <w:t>Evidence of critical thinking and intellectual curiosity.</w:t>
      </w:r>
    </w:p>
    <w:p w:rsidRPr="00DD702D" w:rsidR="00DD702D" w:rsidP="00DD702D" w:rsidRDefault="00DD702D" w14:paraId="57A4D02F" w14:textId="77777777">
      <w:pPr>
        <w:rPr>
          <w:b/>
          <w:bCs/>
        </w:rPr>
      </w:pPr>
      <w:r w:rsidRPr="00DD702D">
        <w:rPr>
          <w:b/>
          <w:bCs/>
        </w:rPr>
        <w:t>5. Post-Interview Assessment</w:t>
      </w:r>
    </w:p>
    <w:p w:rsidRPr="00DD702D" w:rsidR="00DD702D" w:rsidP="00DD702D" w:rsidRDefault="00DD702D" w14:paraId="68D38F10" w14:textId="77777777">
      <w:pPr>
        <w:numPr>
          <w:ilvl w:val="0"/>
          <w:numId w:val="11"/>
        </w:numPr>
      </w:pPr>
      <w:r w:rsidRPr="00DD702D">
        <w:t>Each panel member will evaluate the applicant against the agreed criteria and provide a written assessment.</w:t>
      </w:r>
    </w:p>
    <w:p w:rsidRPr="00DD702D" w:rsidR="00DD702D" w:rsidP="00DD702D" w:rsidRDefault="00DD702D" w14:paraId="1724398C" w14:textId="77777777">
      <w:pPr>
        <w:numPr>
          <w:ilvl w:val="0"/>
          <w:numId w:val="11"/>
        </w:numPr>
      </w:pPr>
      <w:r w:rsidRPr="00DD702D">
        <w:t>The panel will collectively decide on the applicant’s suitability for the program and whether any conditions (e.g., additional preparatory courses or revisions to the proposal) should be applied.</w:t>
      </w:r>
    </w:p>
    <w:p w:rsidRPr="00DD702D" w:rsidR="00DD702D" w:rsidP="00DD702D" w:rsidRDefault="00DD702D" w14:paraId="63C07671" w14:textId="77777777">
      <w:pPr>
        <w:rPr>
          <w:b/>
          <w:bCs/>
        </w:rPr>
      </w:pPr>
      <w:r w:rsidRPr="00DD702D">
        <w:rPr>
          <w:b/>
          <w:bCs/>
        </w:rPr>
        <w:t>6. Final Decision</w:t>
      </w:r>
    </w:p>
    <w:p w:rsidRPr="00DD702D" w:rsidR="00DD702D" w:rsidP="00DD702D" w:rsidRDefault="00DD702D" w14:paraId="698CAAEF" w14:textId="77777777">
      <w:r w:rsidRPr="00DD702D">
        <w:t>The final decision, along with any conditions, will be communicated to the applicant in writing by the proposed primary supervisor copying in the Research Administrator. Decisions must be approved by the Director of Graduate Studies to ensure consistency and fairness across applications.</w:t>
      </w:r>
    </w:p>
    <w:p w:rsidRPr="00DD702D" w:rsidR="00DD702D" w:rsidP="00DD702D" w:rsidRDefault="00DD702D" w14:paraId="54868384" w14:textId="77777777"/>
    <w:p w:rsidR="00DD702D" w:rsidP="00DD702D" w:rsidRDefault="00DD702D" w14:paraId="47703FFC" w14:textId="77777777">
      <w:r w:rsidRPr="00DD702D">
        <w:t>This process ensures that self-funded applicants meet the same rigorous standards as funded students, maintaining the integrity and quality of PhD admissions at QMUL.</w:t>
      </w:r>
    </w:p>
    <w:p w:rsidRPr="00DD702D" w:rsidR="009964F4" w:rsidP="00DD702D" w:rsidRDefault="009964F4" w14:paraId="034200B5" w14:textId="77777777"/>
    <w:p w:rsidRPr="009964F4" w:rsidR="009964F4" w:rsidP="009964F4" w:rsidRDefault="009964F4" w14:paraId="1E31CD2A" w14:textId="77777777">
      <w:pPr>
        <w:pStyle w:val="ListParagraph"/>
        <w:numPr>
          <w:ilvl w:val="0"/>
          <w:numId w:val="14"/>
        </w:numPr>
        <w:rPr>
          <w:b/>
          <w:bCs/>
        </w:rPr>
      </w:pPr>
      <w:r w:rsidRPr="009964F4">
        <w:rPr>
          <w:b/>
          <w:bCs/>
        </w:rPr>
        <w:t>Appointing members of your research team to PhDs</w:t>
      </w:r>
    </w:p>
    <w:p w:rsidR="009964F4" w:rsidP="2FD17568" w:rsidRDefault="009964F4" w14:paraId="4859B494" w14:textId="00A74DBB">
      <w:pPr>
        <w:pStyle w:val="Normal"/>
        <w:spacing w:before="240" w:beforeAutospacing="off" w:after="240" w:afterAutospacing="off"/>
        <w:rPr>
          <w:noProof w:val="0"/>
          <w:lang w:val="en-GB"/>
        </w:rPr>
      </w:pPr>
    </w:p>
    <w:p w:rsidR="2A8AB999" w:rsidP="4383924C" w:rsidRDefault="2A8AB999" w14:paraId="18ACBD76" w14:textId="5737E376">
      <w:pPr>
        <w:pStyle w:val="Normal"/>
        <w:spacing w:before="240" w:beforeAutospacing="off" w:after="240" w:afterAutospacing="off"/>
        <w:rPr>
          <w:rFonts w:ascii="Aptos" w:hAnsi="Aptos" w:eastAsia="Aptos" w:cs="Aptos"/>
          <w:noProof w:val="0"/>
          <w:sz w:val="22"/>
          <w:szCs w:val="22"/>
          <w:lang w:val="en-GB"/>
        </w:rPr>
      </w:pPr>
      <w:r w:rsidRPr="2FD17568" w:rsidR="2A8AB999">
        <w:rPr>
          <w:rFonts w:ascii="Aptos" w:hAnsi="Aptos" w:eastAsia="Aptos" w:cs="Aptos"/>
          <w:noProof w:val="0"/>
          <w:sz w:val="22"/>
          <w:szCs w:val="22"/>
          <w:lang w:val="en-GB"/>
        </w:rPr>
        <w:t>You can appoint members of your research team to PhD positions, provided you have funding for these roles. When considering staff members as potential PhD students, you should assess their suitability using the same criteria as for self-funded students, as outlined above.</w:t>
      </w:r>
    </w:p>
    <w:p w:rsidR="4383924C" w:rsidRDefault="4383924C" w14:paraId="2D5CBD1C" w14:textId="4EED214E"/>
    <w:p w:rsidR="009964F4" w:rsidP="2FD17568" w:rsidRDefault="009964F4" w14:paraId="66D23252" w14:textId="0A82B8B2">
      <w:pPr>
        <w:pStyle w:val="Heading1"/>
      </w:pPr>
      <w:bookmarkStart w:name="_Toc435686662" w:id="403893937"/>
      <w:r w:rsidR="009964F4">
        <w:rPr/>
        <w:t>Enrolment</w:t>
      </w:r>
      <w:bookmarkEnd w:id="403893937"/>
    </w:p>
    <w:p w:rsidR="009964F4" w:rsidP="2FD17568" w:rsidRDefault="009964F4" w14:paraId="318F1214" w14:textId="1984ABD8">
      <w:pPr>
        <w:pStyle w:val="Normal"/>
        <w:rPr>
          <w:rFonts w:ascii="Aptos" w:hAnsi="Aptos" w:eastAsia="Aptos" w:cs="Aptos"/>
          <w:noProof w:val="0"/>
          <w:sz w:val="22"/>
          <w:szCs w:val="22"/>
          <w:lang w:val="en-GB"/>
        </w:rPr>
      </w:pPr>
      <w:r w:rsidRPr="2FD17568" w:rsidR="418888C8">
        <w:rPr>
          <w:rFonts w:ascii="Aptos" w:hAnsi="Aptos" w:eastAsia="Aptos" w:cs="Aptos"/>
          <w:noProof w:val="0"/>
          <w:sz w:val="22"/>
          <w:szCs w:val="22"/>
          <w:lang w:val="en-GB"/>
        </w:rPr>
        <w:t xml:space="preserve">There are three enrolment windows per year for students to start: September, January, and April. </w:t>
      </w:r>
      <w:r w:rsidRPr="2FD17568" w:rsidR="418888C8">
        <w:rPr>
          <w:rFonts w:ascii="Aptos" w:hAnsi="Aptos" w:eastAsia="Aptos" w:cs="Aptos"/>
          <w:noProof w:val="0"/>
          <w:sz w:val="22"/>
          <w:szCs w:val="22"/>
          <w:lang w:val="en-GB"/>
        </w:rPr>
        <w:t>The majority of</w:t>
      </w:r>
      <w:r w:rsidRPr="2FD17568" w:rsidR="418888C8">
        <w:rPr>
          <w:rFonts w:ascii="Aptos" w:hAnsi="Aptos" w:eastAsia="Aptos" w:cs="Aptos"/>
          <w:noProof w:val="0"/>
          <w:sz w:val="22"/>
          <w:szCs w:val="22"/>
          <w:lang w:val="en-GB"/>
        </w:rPr>
        <w:t xml:space="preserve"> students are appointed in September and January, so the DGS team recommends using these windows whenever possible. This ensures your student is part of a larger cohort. April should only be used if </w:t>
      </w:r>
      <w:r w:rsidRPr="2FD17568" w:rsidR="418888C8">
        <w:rPr>
          <w:rFonts w:ascii="Aptos" w:hAnsi="Aptos" w:eastAsia="Aptos" w:cs="Aptos"/>
          <w:noProof w:val="0"/>
          <w:sz w:val="22"/>
          <w:szCs w:val="22"/>
          <w:lang w:val="en-GB"/>
        </w:rPr>
        <w:t>absolutely necessary</w:t>
      </w:r>
    </w:p>
    <w:p w:rsidR="009964F4" w:rsidP="009964F4" w:rsidRDefault="009964F4" w14:paraId="744599F7" w14:textId="27C65705">
      <w:r w:rsidR="009964F4">
        <w:rPr/>
        <w:t xml:space="preserve">In the first week of your new student being enrolled you should arrange to meet them and </w:t>
      </w:r>
      <w:r w:rsidR="009964F4">
        <w:rPr/>
        <w:t>discuss your expectations around working patterns as well as their goals for the first months of the PhD</w:t>
      </w:r>
      <w:r w:rsidR="009964F4">
        <w:rPr/>
        <w:t xml:space="preserve">. You should also </w:t>
      </w:r>
      <w:r w:rsidR="519CC975">
        <w:rPr/>
        <w:t>inform</w:t>
      </w:r>
      <w:r w:rsidR="009964F4">
        <w:rPr/>
        <w:t xml:space="preserve"> your centre manager that you have a new student starting, as they will need to carry out a building induction for them. </w:t>
      </w:r>
      <w:r w:rsidR="00FC765F">
        <w:rPr/>
        <w:t xml:space="preserve">It is best practice to invite your students to your unit/research group meetings, to ensure that they </w:t>
      </w:r>
      <w:r w:rsidR="008053BE">
        <w:rPr/>
        <w:t xml:space="preserve">feel part of a strong research culture and community. </w:t>
      </w:r>
    </w:p>
    <w:p w:rsidR="009964F4" w:rsidP="009964F4" w:rsidRDefault="009964F4" w14:paraId="52FE033B" w14:textId="0B9BDD3E">
      <w:r>
        <w:t>There are two sets of induction events which students are expected to attend</w:t>
      </w:r>
      <w:r w:rsidR="00184BC1">
        <w:t xml:space="preserve">. Firstly, students should go to </w:t>
      </w:r>
      <w:r>
        <w:t xml:space="preserve">the Doctoral College Induction </w:t>
      </w:r>
      <w:r w:rsidR="00D06313">
        <w:t xml:space="preserve">week, which consists of a mixture of in person and online events, full details of which can be found here: </w:t>
      </w:r>
      <w:hyperlink w:history="1" r:id="rId8">
        <w:r w:rsidRPr="00F45B24" w:rsidR="00184BC1">
          <w:rPr>
            <w:rStyle w:val="Hyperlink"/>
          </w:rPr>
          <w:t>https://www.qmul.ac.uk/doctoralcollege/skills-training/doctoral-college-training/</w:t>
        </w:r>
      </w:hyperlink>
      <w:r w:rsidR="00184BC1">
        <w:t xml:space="preserve">. All students who hold an offer will be automatically invited to these sessions.  </w:t>
      </w:r>
    </w:p>
    <w:p w:rsidR="00184BC1" w:rsidP="009964F4" w:rsidRDefault="00184BC1" w14:paraId="716197E5" w14:textId="35E95AF8">
      <w:pPr/>
      <w:r w:rsidR="00184BC1">
        <w:rPr/>
        <w:t xml:space="preserve">Second, students will be invited to an institute induction event held in person by the DGS team, which will take place in the week following the Doctoral College induction. </w:t>
      </w:r>
      <w:r w:rsidR="00FC765F">
        <w:rPr/>
        <w:t xml:space="preserve">This will consist of an introduction to the institute, the DGS team and to the PhD cohort as well as the student representatives. </w:t>
      </w:r>
    </w:p>
    <w:p w:rsidR="4383924C" w:rsidRDefault="4383924C" w14:paraId="1449AFC2" w14:textId="4CF1E05B">
      <w:pPr/>
    </w:p>
    <w:p w:rsidR="389197A1" w:rsidRDefault="389197A1" w14:paraId="1CAE9BFA" w14:textId="43F957F4">
      <w:pPr/>
      <w:r w:rsidR="389197A1">
        <w:rPr/>
        <w:t xml:space="preserve">Should we include something about the make-up of supervisory panels? </w:t>
      </w:r>
    </w:p>
    <w:p w:rsidR="4383924C" w:rsidRDefault="4383924C" w14:paraId="74CA1343" w14:textId="629D3141">
      <w:pPr/>
    </w:p>
    <w:p w:rsidR="7A383131" w:rsidRDefault="7A383131" w14:paraId="6E9FCFC1" w14:textId="7444F7E6">
      <w:r w:rsidR="7A383131">
        <w:rPr/>
        <w:t>Also</w:t>
      </w:r>
      <w:r w:rsidR="7A383131">
        <w:rPr/>
        <w:t xml:space="preserve"> </w:t>
      </w:r>
      <w:r w:rsidR="7037E076">
        <w:rPr/>
        <w:t>something</w:t>
      </w:r>
      <w:r w:rsidR="7A383131">
        <w:rPr/>
        <w:t xml:space="preserve"> about the student log? And how supervisors should be </w:t>
      </w:r>
      <w:r w:rsidR="36B575E8">
        <w:rPr/>
        <w:t>engaging</w:t>
      </w:r>
      <w:r w:rsidR="7A383131">
        <w:rPr/>
        <w:t xml:space="preserve"> with this. Also </w:t>
      </w:r>
      <w:r w:rsidR="6E391087">
        <w:rPr/>
        <w:t>monitoring</w:t>
      </w:r>
      <w:r w:rsidR="7A383131">
        <w:rPr/>
        <w:t xml:space="preserve"> student skill </w:t>
      </w:r>
      <w:r w:rsidR="7A383131">
        <w:rPr/>
        <w:t>point</w:t>
      </w:r>
      <w:r w:rsidR="7A383131">
        <w:rPr/>
        <w:t xml:space="preserve"> training log? </w:t>
      </w:r>
    </w:p>
    <w:p w:rsidRPr="00141F7C" w:rsidR="00DD702D" w:rsidP="002D5EAF" w:rsidRDefault="00141F7C" w14:paraId="38538901" w14:textId="2612C6BC">
      <w:pPr>
        <w:pStyle w:val="Heading1"/>
        <w:numPr>
          <w:ilvl w:val="0"/>
          <w:numId w:val="24"/>
        </w:numPr>
        <w:rPr/>
      </w:pPr>
      <w:bookmarkStart w:name="_Toc1118849671" w:id="1998262619"/>
      <w:r w:rsidR="00141F7C">
        <w:rPr/>
        <w:t>Progression</w:t>
      </w:r>
      <w:bookmarkEnd w:id="1998262619"/>
    </w:p>
    <w:p w:rsidR="002A62B2" w:rsidP="008B277D" w:rsidRDefault="00DA6C9E" w14:paraId="23ACF7C4" w14:textId="41E24F53">
      <w:pPr/>
      <w:r w:rsidR="00DA6C9E">
        <w:rPr/>
        <w:t>Progression is a formal process that</w:t>
      </w:r>
      <w:r w:rsidR="785733C6">
        <w:rPr/>
        <w:t xml:space="preserve"> assesses a student’s readiness to progress </w:t>
      </w:r>
      <w:r w:rsidR="00DA6C9E">
        <w:rPr/>
        <w:t xml:space="preserve"> </w:t>
      </w:r>
      <w:r w:rsidR="00DA6C9E">
        <w:rPr/>
        <w:t>to the next stage of their research studies programme.</w:t>
      </w:r>
      <w:r w:rsidR="002457AA">
        <w:rPr/>
        <w:t xml:space="preserve"> </w:t>
      </w:r>
      <w:r w:rsidR="28E1353F">
        <w:rPr/>
        <w:t xml:space="preserve">Full details of the </w:t>
      </w:r>
      <w:r w:rsidR="28E1353F">
        <w:rPr/>
        <w:t>progression</w:t>
      </w:r>
      <w:r w:rsidR="28E1353F">
        <w:rPr/>
        <w:t xml:space="preserve"> guidance can be access here:</w:t>
      </w:r>
    </w:p>
    <w:p w:rsidR="7D8F3751" w:rsidP="2FD17568" w:rsidRDefault="7D8F3751" w14:paraId="1A873E5D" w14:textId="6E3DA9A3">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The supervisor's responsibilities for student progression are outlined as follows:</w:t>
      </w:r>
    </w:p>
    <w:p w:rsidR="7D8F3751" w:rsidP="2FD17568" w:rsidRDefault="7D8F3751" w14:paraId="7E7CA57B" w14:textId="5763C16F">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1"/>
          <w:bCs w:val="1"/>
          <w:i w:val="0"/>
          <w:iCs w:val="0"/>
          <w:caps w:val="0"/>
          <w:smallCaps w:val="0"/>
          <w:noProof w:val="0"/>
          <w:color w:val="333333"/>
          <w:sz w:val="22"/>
          <w:szCs w:val="22"/>
          <w:lang w:val="en-GB"/>
        </w:rPr>
        <w:t>Monitoring and Reporting Progress</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w:t>
      </w:r>
    </w:p>
    <w:p w:rsidR="7D8F3751" w:rsidP="2FD17568" w:rsidRDefault="7D8F3751" w14:paraId="19D6A385" w14:textId="76F2AEAC">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If the supervisor has concerns about a student’s progress, they must notify the Institute Director of Graduate Studies (DGS) at the earliest opportunity.</w:t>
      </w:r>
    </w:p>
    <w:p w:rsidR="7D8F3751" w:rsidP="2FD17568" w:rsidRDefault="7D8F3751" w14:paraId="66466271" w14:textId="07FF5923">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For each annual progression, the supervisor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is required to</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complete a Supervisor Report Form.</w:t>
      </w:r>
      <w:r w:rsidR="7D8F3751">
        <w:rPr/>
        <w:t xml:space="preserve"> This can be downloaded through the following link: </w:t>
      </w:r>
      <w:hyperlink r:id="R648bf93d714e4ca6">
        <w:r w:rsidRPr="2FD17568" w:rsidR="7D8F3751">
          <w:rPr>
            <w:rFonts w:ascii="Arial" w:hAnsi="Arial" w:eastAsia="Calibri" w:cs="Arial"/>
            <w:color w:val="0000FF"/>
            <w:u w:val="single"/>
          </w:rPr>
          <w:t>Supervisor_Update_Report_Form_for_PhD_MDRes_Students.doc</w:t>
        </w:r>
      </w:hyperlink>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This form must be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submitted</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to the Institute PGR administrator for processing, and the DGS must approve it for final progression approval.</w:t>
      </w:r>
    </w:p>
    <w:p w:rsidR="7D8F3751" w:rsidP="2FD17568" w:rsidRDefault="7D8F3751" w14:paraId="6D3564DA" w14:textId="04CBF55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1"/>
          <w:bCs w:val="1"/>
          <w:i w:val="0"/>
          <w:iCs w:val="0"/>
          <w:caps w:val="0"/>
          <w:smallCaps w:val="0"/>
          <w:noProof w:val="0"/>
          <w:color w:val="333333"/>
          <w:sz w:val="22"/>
          <w:szCs w:val="22"/>
          <w:lang w:val="en-GB"/>
        </w:rPr>
        <w:t>Setting up the Progression Panel</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w:t>
      </w:r>
    </w:p>
    <w:p w:rsidR="7D8F3751" w:rsidP="2FD17568" w:rsidRDefault="7D8F3751" w14:paraId="48E74A70" w14:textId="206E4AAD">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Ahead of the Year 1 progression, the supervisor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is responsible for</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selecting a panel of examiners.</w:t>
      </w:r>
    </w:p>
    <w:p w:rsidR="7D8F3751" w:rsidP="2FD17568" w:rsidRDefault="7D8F3751" w14:paraId="5C41E3E3" w14:textId="0B3E6644">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At least one examiner should be internal to the WIPH (research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center</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or department).</w:t>
      </w:r>
    </w:p>
    <w:p w:rsidR="7D8F3751" w:rsidP="2FD17568" w:rsidRDefault="7D8F3751" w14:paraId="613967EC" w14:textId="1A0EAFA2">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The panel must include examiners who have experience in both examining a PhD and supervising a PhD student to completion. This experience can be distributed across the panel members.</w:t>
      </w:r>
    </w:p>
    <w:p w:rsidR="7D8F3751" w:rsidP="2FD17568" w:rsidRDefault="7D8F3751" w14:paraId="05336ABD" w14:textId="71087293">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It is important that the same examiners are assigned to future progressions whenever possible. Any change in the panel needs approval from the DGS.</w:t>
      </w:r>
    </w:p>
    <w:p w:rsidR="7D8F3751" w:rsidP="2FD17568" w:rsidRDefault="7D8F3751" w14:paraId="2A4DCD32" w14:textId="6BD88A3D">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1"/>
          <w:bCs w:val="1"/>
          <w:i w:val="0"/>
          <w:iCs w:val="0"/>
          <w:caps w:val="0"/>
          <w:smallCaps w:val="0"/>
          <w:noProof w:val="0"/>
          <w:color w:val="333333"/>
          <w:sz w:val="22"/>
          <w:szCs w:val="22"/>
          <w:lang w:val="en-GB"/>
        </w:rPr>
        <w:t>Approval Process for Examiners</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w:t>
      </w:r>
    </w:p>
    <w:p w:rsidR="7D8F3751" w:rsidP="2FD17568" w:rsidRDefault="7D8F3751" w14:paraId="75ABB98B" w14:textId="5958E309">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The supervisor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is responsible for</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uploading the proposed panel of examiners to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MySIS</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prior to the examination. This is essential to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initiate</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the approval process, ensuring that the examiners meet the required criteria.</w:t>
      </w:r>
    </w:p>
    <w:p w:rsidR="7D8F3751" w:rsidP="2FD17568" w:rsidRDefault="7D8F3751" w14:paraId="4F0F0DD8" w14:textId="40A4D085">
      <w:pPr>
        <w:shd w:val="clear" w:color="auto" w:fill="FFFFFF" w:themeFill="background1"/>
        <w:spacing w:before="0" w:beforeAutospacing="off" w:after="0" w:afterAutospacing="off"/>
        <w:jc w:val="left"/>
        <w:rPr>
          <w:rFonts w:ascii="Aptos" w:hAnsi="Aptos" w:eastAsia="Aptos" w:cs="Aptos" w:asciiTheme="minorAscii" w:hAnsiTheme="minorAscii" w:eastAsiaTheme="minorAscii" w:cstheme="minorAscii"/>
          <w:b w:val="1"/>
          <w:bCs w:val="1"/>
          <w:sz w:val="22"/>
          <w:szCs w:val="22"/>
        </w:rPr>
      </w:pP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These responsibilities ensure the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appropriate oversight</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of the student's academic </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journey</w:t>
      </w:r>
      <w:r w:rsidRPr="2FD17568" w:rsidR="7D8F3751">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and the formal progression process is followed.</w:t>
      </w:r>
      <w:r w:rsidRPr="2FD17568" w:rsidR="7D8F3751">
        <w:rPr>
          <w:rFonts w:ascii="Aptos" w:hAnsi="Aptos" w:eastAsia="Aptos" w:cs="Aptos" w:asciiTheme="minorAscii" w:hAnsiTheme="minorAscii" w:eastAsiaTheme="minorAscii" w:cstheme="minorAscii"/>
          <w:b w:val="1"/>
          <w:bCs w:val="1"/>
          <w:sz w:val="22"/>
          <w:szCs w:val="22"/>
        </w:rPr>
        <w:t xml:space="preserve"> </w:t>
      </w:r>
    </w:p>
    <w:p w:rsidRPr="002A62B2" w:rsidR="00DD702D" w:rsidP="008B277D" w:rsidRDefault="00DD702D" w14:paraId="3F0CD6C4" w14:textId="6864A15F">
      <w:pPr>
        <w:rPr>
          <w:rFonts w:ascii="Arial" w:hAnsi="Arial" w:eastAsia="Calibri" w:cs="Arial"/>
          <w:color w:val="0000FF"/>
          <w:kern w:val="0"/>
          <w:u w:val="single"/>
          <w14:ligatures w14:val="none"/>
        </w:rPr>
      </w:pPr>
    </w:p>
    <w:p w:rsidR="008B277D" w:rsidP="008B277D" w:rsidRDefault="008B277D" w14:paraId="11018F23" w14:textId="4E40D386">
      <w:pPr>
        <w:pStyle w:val="ListParagraph"/>
        <w:numPr>
          <w:ilvl w:val="0"/>
          <w:numId w:val="18"/>
        </w:numPr>
        <w:rPr/>
      </w:pPr>
      <w:r w:rsidR="008B277D">
        <w:rPr/>
        <w:t>Year One Progression (9 months</w:t>
      </w:r>
      <w:r w:rsidR="6E869E78">
        <w:rPr/>
        <w:t xml:space="preserve"> full time/18 months part time</w:t>
      </w:r>
      <w:r w:rsidR="008B277D">
        <w:rPr/>
        <w:t>)</w:t>
      </w:r>
    </w:p>
    <w:p w:rsidRPr="00A97433" w:rsidR="00C21C6F" w:rsidP="00C21C6F" w:rsidRDefault="00C21C6F" w14:paraId="3CC5049A" w14:textId="77777777">
      <w:bookmarkStart w:name="_Hlk184719543" w:id="3"/>
      <w:r>
        <w:t xml:space="preserve">For full time students the window for the first (Year 1) progression is 6-9 months from initial registration, with an expectation that by the end of this period the progression outcome will be </w:t>
      </w:r>
      <w:r w:rsidRPr="00A97433">
        <w:t>logged on the students MySIS record. If a Year 1 progression has not been completed within 12 months, the student’s registration will be ended.</w:t>
      </w:r>
    </w:p>
    <w:p w:rsidRPr="00A97433" w:rsidR="007B6374" w:rsidP="00C21C6F" w:rsidRDefault="00C21C6F" w14:paraId="04D516DA" w14:textId="6D4E4DED">
      <w:r w:rsidRPr="00A97433">
        <w:t>For part-time students, the Year 1 progression point should occur by 18 months from initial registration and must be completed before 24 months.</w:t>
      </w:r>
    </w:p>
    <w:p w:rsidRPr="00A97433" w:rsidR="00C21C6F" w:rsidP="00C21C6F" w:rsidRDefault="00FA55D7" w14:paraId="1E118FFA" w14:textId="533C802C">
      <w:r w:rsidRPr="00A97433">
        <w:t xml:space="preserve">For the Year 1 progression students are required to submit a report and undergo an oral examination. </w:t>
      </w:r>
      <w:r w:rsidRPr="00A97433" w:rsidR="00C21C6F">
        <w:t xml:space="preserve">Full requirements are outlined in the FMD progression guidance which can be found on the Staff Zone. </w:t>
      </w:r>
    </w:p>
    <w:bookmarkEnd w:id="3"/>
    <w:p w:rsidRPr="00A97433" w:rsidR="00A97433" w:rsidP="00A97433" w:rsidRDefault="00A97433" w14:paraId="1FA704EE" w14:textId="77777777">
      <w:pPr>
        <w:spacing w:after="120" w:line="240" w:lineRule="auto"/>
        <w:jc w:val="both"/>
        <w:rPr>
          <w:rFonts w:eastAsia="Times New Roman" w:cs="Arial"/>
          <w:lang w:eastAsia="en-GB"/>
        </w:rPr>
      </w:pPr>
      <w:r w:rsidRPr="00A97433">
        <w:rPr>
          <w:rFonts w:eastAsia="Times New Roman" w:cs="Arial"/>
          <w:lang w:eastAsia="en-GB"/>
        </w:rPr>
        <w:t>The lead panellist will make a progression outcome recommendation and submit the panel report through MySIS. The possible outcomes of the panel are:</w:t>
      </w:r>
    </w:p>
    <w:p w:rsidRPr="00A97433" w:rsidR="00A97433" w:rsidP="00A97433" w:rsidRDefault="00A97433" w14:paraId="6574D4C8" w14:textId="77777777">
      <w:pPr>
        <w:pStyle w:val="ListParagraph"/>
        <w:numPr>
          <w:ilvl w:val="0"/>
          <w:numId w:val="19"/>
        </w:numPr>
        <w:spacing w:after="120" w:line="240" w:lineRule="auto"/>
        <w:jc w:val="both"/>
        <w:rPr>
          <w:rFonts w:eastAsia="Times New Roman" w:cs="Arial"/>
          <w:lang w:eastAsia="en-GB"/>
        </w:rPr>
      </w:pPr>
      <w:r w:rsidRPr="00A97433">
        <w:rPr>
          <w:rFonts w:eastAsia="Times New Roman" w:cs="Arial"/>
          <w:lang w:eastAsia="en-GB"/>
        </w:rPr>
        <w:t>Progress – the student may progress to the next stage of the research studies programme</w:t>
      </w:r>
    </w:p>
    <w:p w:rsidRPr="00A97433" w:rsidR="00A97433" w:rsidP="00A97433" w:rsidRDefault="00A97433" w14:paraId="4E13F0F2" w14:textId="77777777">
      <w:pPr>
        <w:pStyle w:val="ListParagraph"/>
        <w:numPr>
          <w:ilvl w:val="0"/>
          <w:numId w:val="19"/>
        </w:numPr>
        <w:spacing w:after="120" w:line="240" w:lineRule="auto"/>
        <w:jc w:val="both"/>
        <w:rPr>
          <w:rFonts w:eastAsia="Times New Roman" w:cs="Arial"/>
          <w:lang w:eastAsia="en-GB"/>
        </w:rPr>
      </w:pPr>
      <w:r w:rsidRPr="00A97433">
        <w:rPr>
          <w:rFonts w:eastAsia="Times New Roman" w:cs="Arial"/>
          <w:lang w:eastAsia="en-GB"/>
        </w:rPr>
        <w:t>Referred – the student must undertake further specified work (communicated in writing by the Institute DGS) and be reconsidered for progression within a maximum time period of 3 months.</w:t>
      </w:r>
    </w:p>
    <w:p w:rsidRPr="005A30BF" w:rsidR="00A97433" w:rsidP="00A97433" w:rsidRDefault="00A97433" w14:paraId="6E0F4A27" w14:textId="77777777">
      <w:pPr>
        <w:pStyle w:val="ListParagraph"/>
        <w:numPr>
          <w:ilvl w:val="0"/>
          <w:numId w:val="19"/>
        </w:numPr>
        <w:spacing w:after="120" w:line="240" w:lineRule="auto"/>
        <w:jc w:val="both"/>
        <w:rPr>
          <w:rFonts w:eastAsia="Times New Roman" w:cs="Arial"/>
          <w:lang w:eastAsia="en-GB"/>
        </w:rPr>
      </w:pPr>
      <w:r w:rsidRPr="00A97433">
        <w:rPr>
          <w:rFonts w:eastAsia="Times New Roman" w:cs="Arial"/>
          <w:lang w:eastAsia="en-GB"/>
        </w:rPr>
        <w:t>If referred, the student will have one further opportunity to resubmit their report and be re-</w:t>
      </w:r>
      <w:r w:rsidRPr="005A30BF">
        <w:rPr>
          <w:rFonts w:eastAsia="Times New Roman" w:cs="Arial"/>
          <w:lang w:eastAsia="en-GB"/>
        </w:rPr>
        <w:t>assessed by the panel. This may require an additional oral examination where the institute DGS may also be present.</w:t>
      </w:r>
    </w:p>
    <w:p w:rsidRPr="005A30BF" w:rsidR="005A30BF" w:rsidP="005A30BF" w:rsidRDefault="005A30BF" w14:paraId="0A4BEA74" w14:textId="77777777">
      <w:pPr>
        <w:spacing w:after="120" w:line="240" w:lineRule="auto"/>
        <w:jc w:val="both"/>
        <w:rPr>
          <w:rFonts w:eastAsia="Times New Roman" w:cs="Arial"/>
          <w:lang w:eastAsia="en-GB"/>
        </w:rPr>
      </w:pPr>
      <w:r w:rsidRPr="005A30BF">
        <w:rPr>
          <w:rFonts w:eastAsia="Times New Roman" w:cs="Arial"/>
          <w:lang w:eastAsia="en-GB"/>
        </w:rPr>
        <w:t>The only possible outcomes after referral are:</w:t>
      </w:r>
    </w:p>
    <w:p w:rsidRPr="005A30BF" w:rsidR="005A30BF" w:rsidP="005A30BF" w:rsidRDefault="005A30BF" w14:paraId="1D6E12C0" w14:textId="77777777">
      <w:pPr>
        <w:pStyle w:val="ListParagraph"/>
        <w:numPr>
          <w:ilvl w:val="0"/>
          <w:numId w:val="20"/>
        </w:numPr>
        <w:spacing w:after="120" w:line="240" w:lineRule="auto"/>
        <w:jc w:val="both"/>
        <w:rPr>
          <w:rFonts w:eastAsia="Times New Roman" w:cs="Arial"/>
          <w:lang w:eastAsia="en-GB"/>
        </w:rPr>
      </w:pPr>
      <w:r w:rsidRPr="005A30BF">
        <w:rPr>
          <w:rFonts w:eastAsia="Times New Roman" w:cs="Arial"/>
          <w:lang w:eastAsia="en-GB"/>
        </w:rPr>
        <w:t>Progress – the student may progress to the next stage of the research studies programme</w:t>
      </w:r>
    </w:p>
    <w:p w:rsidRPr="005A30BF" w:rsidR="005A30BF" w:rsidP="005A30BF" w:rsidRDefault="005A30BF" w14:paraId="22D2027B" w14:textId="77777777">
      <w:pPr>
        <w:pStyle w:val="ListParagraph"/>
        <w:numPr>
          <w:ilvl w:val="0"/>
          <w:numId w:val="20"/>
        </w:numPr>
        <w:spacing w:after="120" w:line="240" w:lineRule="auto"/>
        <w:jc w:val="both"/>
        <w:rPr>
          <w:rFonts w:eastAsia="Times New Roman" w:cs="Arial"/>
          <w:lang w:eastAsia="en-GB"/>
        </w:rPr>
      </w:pPr>
      <w:r w:rsidRPr="005A30BF">
        <w:rPr>
          <w:rFonts w:eastAsia="Times New Roman" w:cs="Arial"/>
          <w:lang w:eastAsia="en-GB"/>
        </w:rPr>
        <w:t>Fail to progress – the student’s registration should be terminated</w:t>
      </w:r>
    </w:p>
    <w:p w:rsidRPr="005A30BF" w:rsidR="005A30BF" w:rsidP="005A30BF" w:rsidRDefault="005A30BF" w14:paraId="2102FA60" w14:textId="54A16553">
      <w:pPr>
        <w:spacing w:after="120" w:line="240" w:lineRule="auto"/>
        <w:jc w:val="both"/>
        <w:rPr>
          <w:rFonts w:eastAsia="Times New Roman" w:cs="Arial"/>
          <w:lang w:eastAsia="en-GB"/>
        </w:rPr>
      </w:pPr>
      <w:r w:rsidRPr="2FD17568" w:rsidR="005A30BF">
        <w:rPr>
          <w:rFonts w:eastAsia="Times New Roman" w:cs="Arial"/>
          <w:lang w:eastAsia="en-GB"/>
        </w:rPr>
        <w:t>De-registration will result in the immediate cessation of any studentship payments and the student will be liable for tuition fees.</w:t>
      </w:r>
    </w:p>
    <w:p w:rsidR="00A97433" w:rsidP="00C21C6F" w:rsidRDefault="00A97433" w14:paraId="270CDB47" w14:textId="77777777"/>
    <w:p w:rsidR="00EC04B9" w:rsidP="00EC04B9" w:rsidRDefault="00EC04B9" w14:paraId="1DD0F05A" w14:textId="0B639DD2">
      <w:pPr>
        <w:pStyle w:val="ListParagraph"/>
        <w:numPr>
          <w:ilvl w:val="0"/>
          <w:numId w:val="18"/>
        </w:numPr>
        <w:rPr/>
      </w:pPr>
      <w:r w:rsidR="00EC04B9">
        <w:rPr/>
        <w:t>Year Two Progression</w:t>
      </w:r>
      <w:r w:rsidR="04487678">
        <w:rPr/>
        <w:t xml:space="preserve"> (18 months full time/36 </w:t>
      </w:r>
      <w:r w:rsidR="04487678">
        <w:rPr/>
        <w:t>months</w:t>
      </w:r>
      <w:r w:rsidR="04487678">
        <w:rPr/>
        <w:t xml:space="preserve"> part time)</w:t>
      </w:r>
    </w:p>
    <w:p w:rsidR="00A71104" w:rsidP="00A71104" w:rsidRDefault="00A71104" w14:paraId="203FE4AD" w14:textId="6D919A2B">
      <w:r>
        <w:t xml:space="preserve">For full time students the window for the second (Year 2) progression is 18-24 months from initial registration, with an expectation that by the end of this period the progression outcome will be logged on the students MySIS record. </w:t>
      </w:r>
    </w:p>
    <w:p w:rsidR="00A71104" w:rsidP="00A71104" w:rsidRDefault="00A71104" w14:paraId="4E348901" w14:textId="2A587630">
      <w:r>
        <w:t xml:space="preserve">For part-time students, the Year </w:t>
      </w:r>
      <w:r w:rsidR="00FB78E3">
        <w:t>2</w:t>
      </w:r>
      <w:r>
        <w:t xml:space="preserve"> progression point should occur by </w:t>
      </w:r>
      <w:r w:rsidR="00FB78E3">
        <w:t>36</w:t>
      </w:r>
      <w:r>
        <w:t xml:space="preserve"> months from initial registration and must be completed before </w:t>
      </w:r>
      <w:r w:rsidR="00FB78E3">
        <w:t>48</w:t>
      </w:r>
      <w:r>
        <w:t xml:space="preserve"> months.</w:t>
      </w:r>
    </w:p>
    <w:p w:rsidR="008B277D" w:rsidP="00A71104" w:rsidRDefault="00A71104" w14:paraId="30F56E34" w14:textId="426312A4">
      <w:r>
        <w:t xml:space="preserve">For the Year </w:t>
      </w:r>
      <w:r w:rsidR="00FB78E3">
        <w:t>2</w:t>
      </w:r>
      <w:r>
        <w:t xml:space="preserve"> progression students are required to submit a </w:t>
      </w:r>
      <w:r w:rsidR="004F3E6C">
        <w:t>20,000-word</w:t>
      </w:r>
      <w:r w:rsidR="00FB78E3">
        <w:t xml:space="preserve"> </w:t>
      </w:r>
      <w:r>
        <w:t>report and undergo an oral examination. Full requirements are outlined in the FMD progression guidance which can be found on the Staff Zone.</w:t>
      </w:r>
    </w:p>
    <w:p w:rsidR="00FB78E3" w:rsidP="00A71104" w:rsidRDefault="005F1A23" w14:paraId="59F9B3F8" w14:textId="17ED7E00">
      <w:r>
        <w:t>Wherever possible the examiners should be the same as those which assessed the Year One Progression</w:t>
      </w:r>
    </w:p>
    <w:p w:rsidR="00FB78E3" w:rsidP="00FB78E3" w:rsidRDefault="005F1A23" w14:paraId="7408043C" w14:textId="7C3372AF">
      <w:pPr>
        <w:pStyle w:val="ListParagraph"/>
        <w:numPr>
          <w:ilvl w:val="0"/>
          <w:numId w:val="18"/>
        </w:numPr>
      </w:pPr>
      <w:r>
        <w:t>Year Three Progression</w:t>
      </w:r>
    </w:p>
    <w:p w:rsidR="005F1A23" w:rsidP="005F1A23" w:rsidRDefault="00C27B5A" w14:paraId="558C1C5A" w14:textId="4343BA08">
      <w:r>
        <w:t xml:space="preserve">The Year Three Progression is much more light touch that the Year One and Two Progressions. This should take place </w:t>
      </w:r>
      <w:r w:rsidR="00922B98">
        <w:t xml:space="preserve">at 30 months for full time students, with the progression outcome logged by 36 months. </w:t>
      </w:r>
      <w:r w:rsidR="00FE70FF">
        <w:t xml:space="preserve">For part time students it should take place at 60 months, with the outcome logged by </w:t>
      </w:r>
      <w:r w:rsidR="00494232">
        <w:t xml:space="preserve">72 months. </w:t>
      </w:r>
    </w:p>
    <w:p w:rsidR="00494232" w:rsidP="005F1A23" w:rsidRDefault="00494232" w14:paraId="19E729F1" w14:textId="4531B1E8">
      <w:r>
        <w:t xml:space="preserve">For the Year 3 progression students are required to submit a </w:t>
      </w:r>
      <w:r w:rsidR="00EC79C3">
        <w:t xml:space="preserve">short written report. A viva examination is not required unless requested by the examiner due to concerns around the </w:t>
      </w:r>
      <w:r w:rsidR="004F3E6C">
        <w:t>students’</w:t>
      </w:r>
      <w:r w:rsidR="00EC79C3">
        <w:t xml:space="preserve"> progress. Full guidance on what the report should include can be found in the FMD Progression Guidelines on the Staff Zone. </w:t>
      </w:r>
    </w:p>
    <w:p w:rsidRPr="007915CD" w:rsidR="007915CD" w:rsidP="002D5EAF" w:rsidRDefault="007915CD" w14:paraId="3D380F7D" w14:textId="49ED3EB0">
      <w:pPr>
        <w:pStyle w:val="Heading1"/>
        <w:numPr>
          <w:ilvl w:val="0"/>
          <w:numId w:val="24"/>
        </w:numPr>
        <w:rPr/>
      </w:pPr>
      <w:bookmarkStart w:name="_Toc1757779899" w:id="878137431"/>
      <w:r w:rsidR="007915CD">
        <w:rPr/>
        <w:t xml:space="preserve">Nomination of </w:t>
      </w:r>
      <w:r w:rsidR="007915CD">
        <w:rPr/>
        <w:t>examiners</w:t>
      </w:r>
      <w:r w:rsidR="007915CD">
        <w:rPr/>
        <w:t xml:space="preserve"> and examination entry</w:t>
      </w:r>
      <w:r w:rsidR="19D949B6">
        <w:rPr/>
        <w:t xml:space="preserve"> for final viva</w:t>
      </w:r>
      <w:bookmarkEnd w:id="878137431"/>
    </w:p>
    <w:p w:rsidR="007915CD" w:rsidP="007915CD" w:rsidRDefault="007915CD" w14:paraId="140B9523" w14:textId="0EEEF63A">
      <w:r w:rsidR="007915CD">
        <w:rPr/>
        <w:t xml:space="preserve">The process for examination entry and nomination of examiners is </w:t>
      </w:r>
      <w:r w:rsidR="007915CD">
        <w:rPr/>
        <w:t>initiated</w:t>
      </w:r>
      <w:r w:rsidR="007915CD">
        <w:rPr/>
        <w:t xml:space="preserve"> by the student. The student completes </w:t>
      </w:r>
      <w:r w:rsidR="007915CD">
        <w:rPr/>
        <w:t>part 1 of the online form</w:t>
      </w:r>
      <w:r w:rsidR="6B7E9710">
        <w:rPr/>
        <w:t xml:space="preserve"> (found on MySIS)</w:t>
      </w:r>
      <w:r w:rsidR="007915CD">
        <w:rPr/>
        <w:t xml:space="preserve">. </w:t>
      </w:r>
    </w:p>
    <w:p w:rsidR="007915CD" w:rsidRDefault="007915CD" w14:paraId="10FE03B1" w14:textId="5F7C59C1">
      <w:r w:rsidR="007915CD">
        <w:rPr/>
        <w:t xml:space="preserve">A student and their supervisor should discuss the </w:t>
      </w:r>
      <w:r w:rsidR="007915CD">
        <w:rPr/>
        <w:t>appropriate timing</w:t>
      </w:r>
      <w:r w:rsidR="007915CD">
        <w:rPr/>
        <w:t xml:space="preserve"> of examination entry and the nomination of examiners to read the thesis and conduct the viva voce examination before the student completes their part of their form and before </w:t>
      </w:r>
      <w:r w:rsidR="007915CD">
        <w:rPr/>
        <w:t>submitting</w:t>
      </w:r>
      <w:r w:rsidR="007915CD">
        <w:rPr/>
        <w:t xml:space="preserve"> </w:t>
      </w:r>
      <w:r w:rsidR="00AE623C">
        <w:rPr/>
        <w:t>their</w:t>
      </w:r>
      <w:r w:rsidR="007915CD">
        <w:rPr/>
        <w:t xml:space="preserve"> thesis.</w:t>
      </w:r>
      <w:r w:rsidR="00AE623C">
        <w:rPr/>
        <w:t xml:space="preserve"> Once your student has completed part 1 of the online form, this will </w:t>
      </w:r>
      <w:r w:rsidR="00E36EE8">
        <w:rPr/>
        <w:t>open</w:t>
      </w:r>
      <w:r w:rsidR="00AE623C">
        <w:rPr/>
        <w:t xml:space="preserve"> a new </w:t>
      </w:r>
      <w:r w:rsidR="00AE623C">
        <w:rPr/>
        <w:t>MySIS</w:t>
      </w:r>
      <w:r w:rsidR="00AE623C">
        <w:rPr/>
        <w:t xml:space="preserve"> task for you, which will allow you to nominate examiners.</w:t>
      </w:r>
      <w:r w:rsidR="199C5466">
        <w:rPr/>
        <w:t xml:space="preserve"> </w:t>
      </w:r>
    </w:p>
    <w:p w:rsidR="21C31F91" w:rsidRDefault="21C31F91" w14:paraId="7F3E33AB" w14:textId="2D7C0F67">
      <w:r w:rsidR="21C31F91">
        <w:rPr/>
        <w:t xml:space="preserve">Full guidance on examiner nominations can be found here: </w:t>
      </w:r>
      <w:hyperlink r:id="R15ad9a1bd25048fd">
        <w:r w:rsidRPr="2FD17568" w:rsidR="21C31F91">
          <w:rPr>
            <w:rStyle w:val="Hyperlink"/>
          </w:rPr>
          <w:t>https://www.qmul.ac.uk/registry-services/research-degrees/research-student-information/nomination-of-examiners-and-examination-entry/</w:t>
        </w:r>
      </w:hyperlink>
      <w:r w:rsidR="21C31F91">
        <w:rPr/>
        <w:t xml:space="preserve"> </w:t>
      </w:r>
    </w:p>
    <w:p w:rsidR="007915CD" w:rsidP="007915CD" w:rsidRDefault="007915CD" w14:paraId="6D43C460" w14:textId="77777777">
      <w:r w:rsidR="007915CD">
        <w:rPr/>
        <w:t xml:space="preserve">There are two examiners for the viva. These two examiners can meet either of the following criteria: </w:t>
      </w:r>
    </w:p>
    <w:p w:rsidR="00A27E98" w:rsidP="00A27E98" w:rsidRDefault="00A27E98" w14:paraId="496411A9" w14:textId="718503CE">
      <w:r>
        <w:t>Either Model A</w:t>
      </w:r>
    </w:p>
    <w:p w:rsidR="00A27E98" w:rsidP="00A27E98" w:rsidRDefault="00A27E98" w14:paraId="1F066134" w14:textId="77777777">
      <w:r>
        <w:t>one internal examiner from the academic staff of Queen Mary University of London who has not been involved in the candidate’s work and has not been a member of the candidate’s progression panel(s); and</w:t>
      </w:r>
    </w:p>
    <w:p w:rsidR="00A27E98" w:rsidP="00A27E98" w:rsidRDefault="00A27E98" w14:paraId="52CBD571" w14:textId="77777777">
      <w:r>
        <w:t>one external examiner.</w:t>
      </w:r>
    </w:p>
    <w:p w:rsidR="00A27E98" w:rsidP="00A27E98" w:rsidRDefault="00A27E98" w14:paraId="49F901A1" w14:textId="7F5B8838">
      <w:r>
        <w:t>Or Model B</w:t>
      </w:r>
    </w:p>
    <w:p w:rsidR="00A27E98" w:rsidP="00A27E98" w:rsidRDefault="00A27E98" w14:paraId="1E72BCB9" w14:textId="6D9C3FD5">
      <w:r>
        <w:t>Where the criteria above for an internal examiner cannot be met or a school/institute considers it to be academically desirable, two external examiners may be appointed.</w:t>
      </w:r>
    </w:p>
    <w:p w:rsidR="00A27E98" w:rsidP="00A27E98" w:rsidRDefault="00A27E98" w14:paraId="32BED05C" w14:textId="77777777">
      <w:r>
        <w:t>Examiners should be experts in the field of the thesis but not necessarily in all parts of the precise topic.</w:t>
      </w:r>
    </w:p>
    <w:p w:rsidR="007915CD" w:rsidP="00A27E98" w:rsidRDefault="00A27E98" w14:paraId="4675BBC8" w14:textId="5D4C3A61">
      <w:r>
        <w:t xml:space="preserve">If nominating two external examiners, please enter the details of the lead examiner in the section for examiner 1 on the nominations form. Examiner 1 is the lead examiner who takes responsibility for completing the examination outcome form and returning to RDO the form and the examiners’ reports.  </w:t>
      </w:r>
    </w:p>
    <w:p w:rsidRPr="00B726D8" w:rsidR="007915CD" w:rsidP="007915CD" w:rsidRDefault="007915CD" w14:paraId="2DB1B908" w14:textId="77777777">
      <w:pPr>
        <w:rPr>
          <w:b/>
          <w:bCs/>
        </w:rPr>
      </w:pPr>
      <w:r w:rsidRPr="00B726D8">
        <w:rPr>
          <w:b/>
          <w:bCs/>
        </w:rPr>
        <w:t>Criteria for Examiners</w:t>
      </w:r>
    </w:p>
    <w:p w:rsidR="007915CD" w:rsidP="007915CD" w:rsidRDefault="007915CD" w14:paraId="1DEC7EF2" w14:textId="310C6E6A">
      <w:r w:rsidR="007915CD">
        <w:rPr/>
        <w:t>Examiners normally fulfil the following criteria:</w:t>
      </w:r>
    </w:p>
    <w:p w:rsidR="00B726D8" w:rsidP="2FD17568" w:rsidRDefault="00B726D8" w14:paraId="0F0D9912" w14:textId="6AA048C5">
      <w:pPr>
        <w:pStyle w:val="ListParagraph"/>
        <w:numPr>
          <w:ilvl w:val="0"/>
          <w:numId w:val="21"/>
        </w:numPr>
        <w:rPr/>
      </w:pPr>
      <w:r w:rsidR="00B726D8">
        <w:rPr/>
        <w:t xml:space="preserve">The examiners should have examined at least five research degrees of the same or equivalent level between them, of which a minimum of three examinations should have </w:t>
      </w:r>
      <w:r w:rsidR="00B726D8">
        <w:rPr/>
        <w:t>been for a research degree in the UK</w:t>
      </w:r>
      <w:r w:rsidR="00B726D8">
        <w:rPr/>
        <w:t xml:space="preserve">.  </w:t>
      </w:r>
      <w:r w:rsidR="00B726D8">
        <w:rPr/>
        <w:t xml:space="preserve">For the MD(Res), at least one examiner should have </w:t>
      </w:r>
      <w:r w:rsidR="00B726D8">
        <w:rPr/>
        <w:t>previous</w:t>
      </w:r>
      <w:r w:rsidR="00B726D8">
        <w:rPr/>
        <w:t xml:space="preserve"> experience of examining for the MD(Res)</w:t>
      </w:r>
      <w:r w:rsidR="00B726D8">
        <w:rPr/>
        <w:t xml:space="preserve">.  </w:t>
      </w:r>
    </w:p>
    <w:p w:rsidR="00B726D8" w:rsidP="00B726D8" w:rsidRDefault="00B726D8" w14:paraId="3A0FC9C6" w14:textId="020043AD">
      <w:pPr>
        <w:pStyle w:val="ListParagraph"/>
        <w:numPr>
          <w:ilvl w:val="0"/>
          <w:numId w:val="21"/>
        </w:numPr>
      </w:pPr>
      <w:r>
        <w:t>Nominated examiners must have had no direct involvement in the candidate’s research and they must not have taken an active role in considering the student’s progression.</w:t>
      </w:r>
    </w:p>
    <w:p w:rsidR="00B726D8" w:rsidP="00B726D8" w:rsidRDefault="00B726D8" w14:paraId="0ABC8A3F" w14:textId="77777777">
      <w:pPr>
        <w:pStyle w:val="ListParagraph"/>
        <w:numPr>
          <w:ilvl w:val="0"/>
          <w:numId w:val="21"/>
        </w:numPr>
      </w:pPr>
      <w:r>
        <w:t>Examiners must not have any close connections or extensive recent (within the past five years) collaborations with either the supervisor(s) or student including joint publications or research grants which might inhibit a completely objective examination.</w:t>
      </w:r>
    </w:p>
    <w:p w:rsidR="00B726D8" w:rsidP="00B726D8" w:rsidRDefault="00B726D8" w14:paraId="7E105A24" w14:textId="77777777">
      <w:pPr>
        <w:pStyle w:val="ListParagraph"/>
        <w:numPr>
          <w:ilvl w:val="0"/>
          <w:numId w:val="21"/>
        </w:numPr>
      </w:pPr>
      <w:r>
        <w:t xml:space="preserve">An external examiner should not normally be appointed more than once during a given academic year by members of the same School/Institute. </w:t>
      </w:r>
    </w:p>
    <w:p w:rsidR="00B726D8" w:rsidP="00B726D8" w:rsidRDefault="00B726D8" w14:paraId="5D8EA82D" w14:textId="49396EB8">
      <w:pPr>
        <w:pStyle w:val="ListParagraph"/>
        <w:numPr>
          <w:ilvl w:val="0"/>
          <w:numId w:val="21"/>
        </w:numPr>
      </w:pPr>
      <w:r>
        <w:t>An examiner who is a member of QMUL staff may be appointed up to three times during a given academic year.</w:t>
      </w:r>
    </w:p>
    <w:p w:rsidR="00B726D8" w:rsidP="00B726D8" w:rsidRDefault="00B726D8" w14:paraId="44D6B8B0" w14:textId="06C564C6">
      <w:pPr>
        <w:pStyle w:val="ListParagraph"/>
        <w:numPr>
          <w:ilvl w:val="0"/>
          <w:numId w:val="21"/>
        </w:numPr>
      </w:pPr>
      <w:r>
        <w:t xml:space="preserve">NHS Consultants or the equivalent in the NHS who are not QMUL or University employees may be appointed as </w:t>
      </w:r>
      <w:r w:rsidR="004F3E6C">
        <w:t>examiners,</w:t>
      </w:r>
      <w:r>
        <w:t xml:space="preserve"> but they should hold an Honorary Senior Lecturer or above contract with a College or University.  Other professional experts may be appointed as external examiners, but the normal requirements for examining experience across the examination team will apply. </w:t>
      </w:r>
    </w:p>
    <w:p w:rsidR="00B726D8" w:rsidP="00B726D8" w:rsidRDefault="00B726D8" w14:paraId="7C7818D1" w14:textId="77777777">
      <w:pPr>
        <w:pStyle w:val="ListParagraph"/>
        <w:numPr>
          <w:ilvl w:val="0"/>
          <w:numId w:val="21"/>
        </w:numPr>
      </w:pPr>
      <w:r>
        <w:t>Individuals who were previously members of staff, students or other members of Queen Mary University of London must not be appointed as an external examiner until a period of three years has elapsed.</w:t>
      </w:r>
    </w:p>
    <w:p w:rsidR="00B726D8" w:rsidP="00B726D8" w:rsidRDefault="00B726D8" w14:paraId="265D04CF" w14:textId="77777777">
      <w:pPr>
        <w:pStyle w:val="ListParagraph"/>
        <w:numPr>
          <w:ilvl w:val="0"/>
          <w:numId w:val="21"/>
        </w:numPr>
      </w:pPr>
      <w:r>
        <w:t xml:space="preserve">Individuals who have retired from academic positions at Queen Mary University of London or another higher education institution may be appointed as internal or external examiners if they remain active in their field of research. </w:t>
      </w:r>
    </w:p>
    <w:p w:rsidR="007915CD" w:rsidP="00B726D8" w:rsidRDefault="00B726D8" w14:paraId="2A1FDE7A" w14:textId="598E4ED7">
      <w:pPr>
        <w:pStyle w:val="ListParagraph"/>
        <w:numPr>
          <w:ilvl w:val="0"/>
          <w:numId w:val="21"/>
        </w:numPr>
      </w:pPr>
      <w:r>
        <w:t>Overseas examiners are appointed as external examiners only in exceptional circumstances and where it is considered that such an appointment is necessary.</w:t>
      </w:r>
    </w:p>
    <w:p w:rsidR="007915CD" w:rsidP="007915CD" w:rsidRDefault="007915CD" w14:paraId="23A6ABFD" w14:textId="1EC2B61C">
      <w:r w:rsidR="007915CD">
        <w:rPr/>
        <w:t xml:space="preserve">Examination entry and nomination of examiners are considered </w:t>
      </w:r>
      <w:r w:rsidR="28F456C6">
        <w:rPr/>
        <w:t>first by the Director of Graduate Studies</w:t>
      </w:r>
      <w:r w:rsidR="6B02929C">
        <w:rPr/>
        <w:t>. If</w:t>
      </w:r>
      <w:r w:rsidR="007915CD">
        <w:rPr/>
        <w:t xml:space="preserve"> </w:t>
      </w:r>
      <w:r w:rsidR="6B02929C">
        <w:rPr/>
        <w:t>supevisors</w:t>
      </w:r>
      <w:r w:rsidR="6B02929C">
        <w:rPr/>
        <w:t xml:space="preserve"> wish to check whether a proposed panel meets the criteria, please contact the DGS ahead of uploading to </w:t>
      </w:r>
      <w:r w:rsidR="6B02929C">
        <w:rPr/>
        <w:t>MySIS</w:t>
      </w:r>
      <w:r w:rsidR="6B02929C">
        <w:rPr/>
        <w:t xml:space="preserve">. Once approved by the DGS the examiners will be reviewed by the Research Degrees and Programmes Examination Board. </w:t>
      </w:r>
      <w:r w:rsidR="007915CD">
        <w:rPr/>
        <w:t>The board meets monthly to consider applications received in the preceding month</w:t>
      </w:r>
      <w:r w:rsidR="00B726D8">
        <w:rPr/>
        <w:t xml:space="preserve">. </w:t>
      </w:r>
      <w:r w:rsidR="007915CD">
        <w:rPr/>
        <w:t>The Research Degrees Office will inform you</w:t>
      </w:r>
      <w:r w:rsidR="00B726D8">
        <w:rPr/>
        <w:t xml:space="preserve"> </w:t>
      </w:r>
      <w:r w:rsidR="007915CD">
        <w:rPr/>
        <w:t>of the Board’s decision after the meeting.</w:t>
      </w:r>
    </w:p>
    <w:p w:rsidR="007915CD" w:rsidP="007915CD" w:rsidRDefault="007915CD" w14:paraId="4C20CF31" w14:textId="77777777">
      <w:r>
        <w:t xml:space="preserve">You can find the paperwork deadlines at: </w:t>
      </w:r>
      <w:hyperlink w:history="1" r:id="rId10">
        <w:r>
          <w:rPr>
            <w:rStyle w:val="Hyperlink"/>
          </w:rPr>
          <w:t>http://www.arcs.qmul.ac.uk/research-degrees/research-degree-students/examiner-nomination-and-exam-entry/</w:t>
        </w:r>
      </w:hyperlink>
    </w:p>
    <w:p w:rsidR="007915CD" w:rsidP="002D5EAF" w:rsidRDefault="00D04227" w14:paraId="4F7100C9" w14:textId="237BFCA5">
      <w:pPr>
        <w:pStyle w:val="Heading1"/>
        <w:numPr>
          <w:ilvl w:val="0"/>
          <w:numId w:val="24"/>
        </w:numPr>
        <w:rPr/>
      </w:pPr>
      <w:bookmarkStart w:name="_Toc1317864996" w:id="1312661098"/>
      <w:r w:rsidR="00D04227">
        <w:rPr/>
        <w:t>Thesis Submission</w:t>
      </w:r>
      <w:bookmarkEnd w:id="1312661098"/>
    </w:p>
    <w:p w:rsidR="00C6728D" w:rsidP="00D04227" w:rsidRDefault="00D04227" w14:paraId="26051AE2" w14:textId="0D1F495F">
      <w:r w:rsidR="00D04227">
        <w:rPr/>
        <w:t>Students</w:t>
      </w:r>
      <w:r w:rsidR="00D04227">
        <w:rPr/>
        <w:t xml:space="preserve"> can only </w:t>
      </w:r>
      <w:r w:rsidR="00D04227">
        <w:rPr/>
        <w:t>submit</w:t>
      </w:r>
      <w:r w:rsidR="00D04227">
        <w:rPr/>
        <w:t xml:space="preserve"> their thesis once the </w:t>
      </w:r>
      <w:r w:rsidR="00D04227">
        <w:rPr/>
        <w:t>exam entry forms</w:t>
      </w:r>
      <w:r w:rsidR="00D04227">
        <w:rPr/>
        <w:t xml:space="preserve"> have been completed. They should </w:t>
      </w:r>
      <w:r w:rsidR="00D04227">
        <w:rPr/>
        <w:t>submit</w:t>
      </w:r>
      <w:r w:rsidR="00D04227">
        <w:rPr/>
        <w:t xml:space="preserve"> this via email to the Doctoral College</w:t>
      </w:r>
      <w:r w:rsidR="00F726F2">
        <w:rPr/>
        <w:t>,</w:t>
      </w:r>
      <w:r w:rsidR="00F726F2">
        <w:rPr/>
        <w:t xml:space="preserve"> </w:t>
      </w:r>
      <w:hyperlink r:id="Red177d525a3a4af6">
        <w:r w:rsidRPr="2FD17568" w:rsidR="00F726F2">
          <w:rPr>
            <w:rStyle w:val="Hyperlink"/>
          </w:rPr>
          <w:t>researchdegrees@qmul.ac.uk</w:t>
        </w:r>
      </w:hyperlink>
      <w:r w:rsidR="00F726F2">
        <w:rPr/>
        <w:t xml:space="preserve">. There is no longer a requirement to </w:t>
      </w:r>
      <w:r w:rsidR="00F726F2">
        <w:rPr/>
        <w:t>submit</w:t>
      </w:r>
      <w:r w:rsidR="00F726F2">
        <w:rPr/>
        <w:t xml:space="preserve"> bound copies</w:t>
      </w:r>
      <w:r w:rsidR="6E1D6877">
        <w:rPr/>
        <w:t xml:space="preserve"> of the thesis</w:t>
      </w:r>
      <w:r w:rsidR="00F726F2">
        <w:rPr/>
        <w:t xml:space="preserve">. </w:t>
      </w:r>
      <w:r w:rsidR="00156BD2">
        <w:rPr/>
        <w:t xml:space="preserve">As supervisor you </w:t>
      </w:r>
      <w:r w:rsidR="00156BD2">
        <w:rPr/>
        <w:t>are responsible for</w:t>
      </w:r>
      <w:r w:rsidR="00156BD2">
        <w:rPr/>
        <w:t xml:space="preserve"> reviewing the final thesis and </w:t>
      </w:r>
      <w:r w:rsidR="00C6728D">
        <w:rPr/>
        <w:t xml:space="preserve">agreeing that it is ready for submission. </w:t>
      </w:r>
    </w:p>
    <w:p w:rsidR="00D04227" w:rsidP="002D5EAF" w:rsidRDefault="00C6728D" w14:paraId="3D8BEA4D" w14:textId="65BBFDEE">
      <w:pPr>
        <w:pStyle w:val="Heading1"/>
        <w:numPr>
          <w:ilvl w:val="0"/>
          <w:numId w:val="24"/>
        </w:numPr>
        <w:rPr/>
      </w:pPr>
      <w:bookmarkStart w:name="_Toc1470967982" w:id="833986384"/>
      <w:r w:rsidR="00C6728D">
        <w:rPr/>
        <w:t>Viva Voce</w:t>
      </w:r>
      <w:bookmarkEnd w:id="833986384"/>
      <w:r w:rsidR="00F726F2">
        <w:rPr/>
        <w:t xml:space="preserve"> </w:t>
      </w:r>
    </w:p>
    <w:p w:rsidRPr="00416A8D" w:rsidR="00416A8D" w:rsidP="00416A8D" w:rsidRDefault="00C6728D" w14:paraId="047710D7" w14:textId="2CF56F75">
      <w:pPr>
        <w:rPr>
          <w:b w:val="1"/>
          <w:bCs w:val="1"/>
        </w:rPr>
      </w:pPr>
      <w:r w:rsidR="00C6728D">
        <w:rPr/>
        <w:t xml:space="preserve">Supervisors </w:t>
      </w:r>
      <w:r w:rsidR="00C6728D">
        <w:rPr/>
        <w:t>are responsible for</w:t>
      </w:r>
      <w:r w:rsidR="00C6728D">
        <w:rPr/>
        <w:t xml:space="preserve"> arranging the</w:t>
      </w:r>
      <w:r w:rsidR="00416A8D">
        <w:rPr/>
        <w:t xml:space="preserve"> date, </w:t>
      </w:r>
      <w:r w:rsidR="00416A8D">
        <w:rPr/>
        <w:t>time</w:t>
      </w:r>
      <w:r w:rsidR="00416A8D">
        <w:rPr/>
        <w:t xml:space="preserve"> and location</w:t>
      </w:r>
      <w:r w:rsidR="00C6728D">
        <w:rPr/>
        <w:t xml:space="preserve"> viva voce on behalf of their students</w:t>
      </w:r>
      <w:r w:rsidR="00416A8D">
        <w:rPr/>
        <w:t>.</w:t>
      </w:r>
      <w:r w:rsidR="280172DE">
        <w:rPr/>
        <w:t xml:space="preserve"> Examinations can take place </w:t>
      </w:r>
      <w:r w:rsidR="2041DA0B">
        <w:rPr/>
        <w:t>in person, online or in a hybrid format depending on the students/</w:t>
      </w:r>
      <w:r w:rsidR="2041DA0B">
        <w:rPr/>
        <w:t>examiners</w:t>
      </w:r>
      <w:r w:rsidR="2041DA0B">
        <w:rPr/>
        <w:t xml:space="preserve"> preferences. Please note that a hybrid examination will require an independent chair.</w:t>
      </w:r>
      <w:r w:rsidR="00416A8D">
        <w:rPr/>
        <w:t xml:space="preserve"> </w:t>
      </w:r>
      <w:r w:rsidR="4E04683E">
        <w:rPr/>
        <w:t xml:space="preserve">This independent chair can be any member of academic staff, including the </w:t>
      </w:r>
      <w:r w:rsidR="4E04683E">
        <w:rPr/>
        <w:t>students</w:t>
      </w:r>
      <w:r w:rsidR="4E04683E">
        <w:rPr/>
        <w:t xml:space="preserve"> superv</w:t>
      </w:r>
      <w:r w:rsidR="4E04683E">
        <w:rPr/>
        <w:t xml:space="preserve">isor. </w:t>
      </w:r>
      <w:r w:rsidR="00416A8D">
        <w:rPr/>
        <w:t>Please</w:t>
      </w:r>
      <w:r w:rsidR="00416A8D">
        <w:rPr/>
        <w:t xml:space="preserve"> let the Research Administrator know if you need an</w:t>
      </w:r>
      <w:r w:rsidR="00416A8D">
        <w:rPr/>
        <w:t xml:space="preserve">y </w:t>
      </w:r>
      <w:r w:rsidR="00416A8D">
        <w:rPr/>
        <w:t>assistan</w:t>
      </w:r>
      <w:r w:rsidR="00416A8D">
        <w:rPr/>
        <w:t>ce</w:t>
      </w:r>
      <w:r w:rsidR="00416A8D">
        <w:rPr/>
        <w:t xml:space="preserve"> with this. </w:t>
      </w:r>
      <w:r w:rsidRPr="2FD17568" w:rsidR="00416A8D">
        <w:rPr>
          <w:b w:val="1"/>
          <w:bCs w:val="1"/>
        </w:rPr>
        <w:t>Students</w:t>
      </w:r>
      <w:r w:rsidRPr="2FD17568" w:rsidR="00416A8D">
        <w:rPr>
          <w:b w:val="1"/>
          <w:bCs w:val="1"/>
        </w:rPr>
        <w:t xml:space="preserve"> must not contact the examiners </w:t>
      </w:r>
      <w:r w:rsidRPr="2FD17568" w:rsidR="00416A8D">
        <w:rPr>
          <w:b w:val="1"/>
          <w:bCs w:val="1"/>
        </w:rPr>
        <w:t>themselves under any circumstances</w:t>
      </w:r>
      <w:r w:rsidRPr="2FD17568" w:rsidR="00416A8D">
        <w:rPr>
          <w:b w:val="1"/>
          <w:bCs w:val="1"/>
        </w:rPr>
        <w:t xml:space="preserve">. </w:t>
      </w:r>
      <w:r w:rsidRPr="2FD17568" w:rsidR="00416A8D">
        <w:rPr>
          <w:b w:val="1"/>
          <w:bCs w:val="1"/>
        </w:rPr>
        <w:t xml:space="preserve">Additionally, neither </w:t>
      </w:r>
      <w:r w:rsidRPr="2FD17568" w:rsidR="004F3E6C">
        <w:rPr>
          <w:b w:val="1"/>
          <w:bCs w:val="1"/>
        </w:rPr>
        <w:t>student</w:t>
      </w:r>
      <w:r w:rsidRPr="2FD17568" w:rsidR="00416A8D">
        <w:rPr>
          <w:b w:val="1"/>
          <w:bCs w:val="1"/>
        </w:rPr>
        <w:t xml:space="preserve"> </w:t>
      </w:r>
      <w:r w:rsidRPr="2FD17568" w:rsidR="004F3E6C">
        <w:rPr>
          <w:b w:val="1"/>
          <w:bCs w:val="1"/>
        </w:rPr>
        <w:t>nor</w:t>
      </w:r>
      <w:r w:rsidRPr="2FD17568" w:rsidR="00416A8D">
        <w:rPr>
          <w:b w:val="1"/>
          <w:bCs w:val="1"/>
        </w:rPr>
        <w:t xml:space="preserve"> supervisors should</w:t>
      </w:r>
      <w:r w:rsidRPr="2FD17568" w:rsidR="00416A8D">
        <w:rPr>
          <w:b w:val="1"/>
          <w:bCs w:val="1"/>
        </w:rPr>
        <w:t xml:space="preserve"> send the thesis </w:t>
      </w:r>
      <w:r w:rsidRPr="2FD17568" w:rsidR="00416A8D">
        <w:rPr>
          <w:b w:val="1"/>
          <w:bCs w:val="1"/>
        </w:rPr>
        <w:t xml:space="preserve">directly </w:t>
      </w:r>
      <w:r w:rsidRPr="2FD17568" w:rsidR="00416A8D">
        <w:rPr>
          <w:b w:val="1"/>
          <w:bCs w:val="1"/>
        </w:rPr>
        <w:t xml:space="preserve">to </w:t>
      </w:r>
      <w:r w:rsidRPr="2FD17568" w:rsidR="00416A8D">
        <w:rPr>
          <w:b w:val="1"/>
          <w:bCs w:val="1"/>
        </w:rPr>
        <w:t>the</w:t>
      </w:r>
      <w:r w:rsidRPr="2FD17568" w:rsidR="00416A8D">
        <w:rPr>
          <w:b w:val="1"/>
          <w:bCs w:val="1"/>
        </w:rPr>
        <w:t xml:space="preserve"> examiners</w:t>
      </w:r>
      <w:r w:rsidRPr="2FD17568" w:rsidR="00416A8D">
        <w:rPr>
          <w:b w:val="1"/>
          <w:bCs w:val="1"/>
        </w:rPr>
        <w:t xml:space="preserve">.  </w:t>
      </w:r>
      <w:r w:rsidRPr="2FD17568" w:rsidR="00416A8D">
        <w:rPr>
          <w:b w:val="1"/>
          <w:bCs w:val="1"/>
        </w:rPr>
        <w:t>The</w:t>
      </w:r>
      <w:r w:rsidRPr="2FD17568" w:rsidR="00416A8D">
        <w:rPr>
          <w:b w:val="1"/>
          <w:bCs w:val="1"/>
        </w:rPr>
        <w:t xml:space="preserve"> examination may be declared invalid if you do</w:t>
      </w:r>
      <w:r w:rsidRPr="2FD17568" w:rsidR="00416A8D">
        <w:rPr>
          <w:b w:val="1"/>
          <w:bCs w:val="1"/>
        </w:rPr>
        <w:t xml:space="preserve"> so</w:t>
      </w:r>
      <w:r w:rsidRPr="2FD17568" w:rsidR="00416A8D">
        <w:rPr>
          <w:b w:val="1"/>
          <w:bCs w:val="1"/>
        </w:rPr>
        <w:t xml:space="preserve">. </w:t>
      </w:r>
    </w:p>
    <w:p w:rsidR="00416A8D" w:rsidP="00416A8D" w:rsidRDefault="00416A8D" w14:paraId="66CDC4DF" w14:textId="04B85B05">
      <w:r>
        <w:t xml:space="preserve">Please ensure that you make it clear if </w:t>
      </w:r>
      <w:r>
        <w:t>the</w:t>
      </w:r>
      <w:r>
        <w:t xml:space="preserve"> thesis needs to be printed and a hardcopy is to be dispatched to the examiner.  </w:t>
      </w:r>
    </w:p>
    <w:p w:rsidR="003F656B" w:rsidP="00416A8D" w:rsidRDefault="003F656B" w14:paraId="42911D13" w14:textId="77777777"/>
    <w:p w:rsidRPr="003F656B" w:rsidR="003F656B" w:rsidP="002D5EAF" w:rsidRDefault="003F656B" w14:paraId="17D57C49" w14:textId="0C5105BF">
      <w:pPr>
        <w:pStyle w:val="Heading1"/>
        <w:numPr>
          <w:ilvl w:val="0"/>
          <w:numId w:val="24"/>
        </w:numPr>
        <w:rPr/>
      </w:pPr>
      <w:bookmarkStart w:name="_Toc1467286883" w:id="456326396"/>
      <w:r w:rsidR="003F656B">
        <w:rPr/>
        <w:t>Examination Outcomes</w:t>
      </w:r>
      <w:bookmarkEnd w:id="456326396"/>
      <w:r w:rsidR="003F656B">
        <w:rPr/>
        <w:t xml:space="preserve"> </w:t>
      </w:r>
    </w:p>
    <w:p w:rsidR="00FB7247" w:rsidP="00FB7247" w:rsidRDefault="00FB7247" w14:paraId="5EAF6A55" w14:textId="48E88B28">
      <w:r>
        <w:t xml:space="preserve">After the viva, </w:t>
      </w:r>
      <w:r>
        <w:t>the</w:t>
      </w:r>
      <w:r>
        <w:t xml:space="preserve"> examiners will inform the Research Degrees Office of the outcome. They are required to do this within two weeks of the viva. They may inform you</w:t>
      </w:r>
      <w:r>
        <w:t xml:space="preserve"> and the student</w:t>
      </w:r>
      <w:r>
        <w:t xml:space="preserve"> of the outcome of the examination at the end of the </w:t>
      </w:r>
      <w:r w:rsidR="004F3E6C">
        <w:t>viva but</w:t>
      </w:r>
      <w:r>
        <w:t xml:space="preserve"> are not required to do so.</w:t>
      </w:r>
    </w:p>
    <w:p w:rsidR="00FB7247" w:rsidP="00FB7247" w:rsidRDefault="00FB7247" w14:paraId="2FEA8E8D" w14:textId="02947F20">
      <w:r>
        <w:t>There are eight possible outcomes:</w:t>
      </w:r>
    </w:p>
    <w:p w:rsidR="00FB7247" w:rsidP="00FB7247" w:rsidRDefault="00FB7247" w14:paraId="546B7989" w14:textId="77777777">
      <w:pPr>
        <w:pStyle w:val="ListParagraph"/>
        <w:numPr>
          <w:ilvl w:val="0"/>
          <w:numId w:val="22"/>
        </w:numPr>
      </w:pPr>
      <w:r>
        <w:t>Pass;</w:t>
      </w:r>
    </w:p>
    <w:p w:rsidR="00FB7247" w:rsidP="00FB7247" w:rsidRDefault="00FB7247" w14:paraId="3A224D18" w14:textId="77777777">
      <w:pPr>
        <w:pStyle w:val="ListParagraph"/>
        <w:numPr>
          <w:ilvl w:val="0"/>
          <w:numId w:val="23"/>
        </w:numPr>
      </w:pPr>
      <w:r>
        <w:t>Pass subject to minor amendments to be completed and checked by one or both examiners within six months;</w:t>
      </w:r>
    </w:p>
    <w:p w:rsidR="00FB7247" w:rsidP="00FB7247" w:rsidRDefault="00FB7247" w14:paraId="50F460C4" w14:textId="77777777">
      <w:pPr>
        <w:pStyle w:val="ListParagraph"/>
        <w:numPr>
          <w:ilvl w:val="0"/>
          <w:numId w:val="23"/>
        </w:numPr>
      </w:pPr>
      <w:r>
        <w:t>Pass subject to major amendments to be completed and checked by both examiners within nine months.</w:t>
      </w:r>
    </w:p>
    <w:p w:rsidR="00FB7247" w:rsidP="00FB7247" w:rsidRDefault="00FB7247" w14:paraId="4A31313E" w14:textId="77777777">
      <w:pPr>
        <w:pStyle w:val="ListParagraph"/>
        <w:numPr>
          <w:ilvl w:val="0"/>
          <w:numId w:val="23"/>
        </w:numPr>
        <w:rPr/>
      </w:pPr>
      <w:r w:rsidR="00FB7247">
        <w:rPr/>
        <w:t>Not pass, but the candidate is allowed to revise the thesis and resubmit it within 18 months (for the PhD and MD(Res) degrees) or 12 months (for the MPhil degree);</w:t>
      </w:r>
    </w:p>
    <w:p w:rsidR="00FB7247" w:rsidP="00FB7247" w:rsidRDefault="00FB7247" w14:paraId="5C3B02E5" w14:textId="77777777">
      <w:pPr>
        <w:pStyle w:val="ListParagraph"/>
        <w:numPr>
          <w:ilvl w:val="0"/>
          <w:numId w:val="23"/>
        </w:numPr>
      </w:pPr>
      <w:r>
        <w:t>Not pass, but the candidate is allowed to take a written paper or practical examination;</w:t>
      </w:r>
    </w:p>
    <w:p w:rsidR="00FB7247" w:rsidP="00FB7247" w:rsidRDefault="00FB7247" w14:paraId="5EEAF031" w14:textId="77777777">
      <w:pPr>
        <w:pStyle w:val="ListParagraph"/>
        <w:numPr>
          <w:ilvl w:val="0"/>
          <w:numId w:val="23"/>
        </w:numPr>
      </w:pPr>
      <w:r>
        <w:t>Not pass, but the candidate is allowed to submit to a second oral examination on the same thesis and by the same examiners within 18 months;</w:t>
      </w:r>
    </w:p>
    <w:p w:rsidR="00FB7247" w:rsidP="00FB7247" w:rsidRDefault="00FB7247" w14:paraId="760D824E" w14:textId="77777777">
      <w:pPr>
        <w:pStyle w:val="ListParagraph"/>
        <w:numPr>
          <w:ilvl w:val="0"/>
          <w:numId w:val="23"/>
        </w:numPr>
      </w:pPr>
      <w:r>
        <w:t>[If entered for a PhD] Fail PhD but the candidate is deemed to have met the requirements for an MPhil (with or without minor amendments) or should be allowed to resubmit a revised thesis for the MPhil degree within 12 months;</w:t>
      </w:r>
    </w:p>
    <w:p w:rsidR="00FB7247" w:rsidP="00FB7247" w:rsidRDefault="00FB7247" w14:paraId="7F4CE9DC" w14:textId="77777777">
      <w:pPr>
        <w:pStyle w:val="ListParagraph"/>
        <w:numPr>
          <w:ilvl w:val="0"/>
          <w:numId w:val="23"/>
        </w:numPr>
      </w:pPr>
      <w:r>
        <w:t>Fail outright: no re-entry permitted.</w:t>
      </w:r>
    </w:p>
    <w:p w:rsidR="00C6728D" w:rsidP="00FB7247" w:rsidRDefault="00FB7247" w14:paraId="542CB318" w14:textId="2878ABF2">
      <w:r w:rsidR="79091A43">
        <w:rPr/>
        <w:t xml:space="preserve">If your student receives an outcome of not pass but resubmission, there is an expectation that the supervisory team will support them through this </w:t>
      </w:r>
      <w:r w:rsidR="21376D5D">
        <w:rPr/>
        <w:t xml:space="preserve">resubmission process. </w:t>
      </w:r>
      <w:r w:rsidR="00FB7247">
        <w:rPr/>
        <w:t>The Research Degrees Office will write to you</w:t>
      </w:r>
      <w:r w:rsidR="00FB7247">
        <w:rPr/>
        <w:t xml:space="preserve"> and the student</w:t>
      </w:r>
      <w:r w:rsidR="00FB7247">
        <w:rPr/>
        <w:t xml:space="preserve"> to formally notify you of the outcome of the examination and advise you </w:t>
      </w:r>
      <w:r w:rsidR="00FB7247">
        <w:rPr/>
        <w:t xml:space="preserve">both </w:t>
      </w:r>
      <w:r w:rsidR="00FB7247">
        <w:rPr/>
        <w:t xml:space="preserve">of the post-viva procedure. The RDO will send you a copy of the examination outcome form, a copy of the examiners’ report on the examination, and a list of amendments required by the examiners, unless you have passed outright or have already been provided with a list of amendments. </w:t>
      </w:r>
      <w:r w:rsidR="000B6908">
        <w:rPr/>
        <w:t>Students</w:t>
      </w:r>
      <w:r w:rsidR="00FB7247">
        <w:rPr/>
        <w:t xml:space="preserve"> </w:t>
      </w:r>
      <w:r w:rsidR="00FB7247">
        <w:rPr/>
        <w:t>are responsible for</w:t>
      </w:r>
      <w:r w:rsidR="00FB7247">
        <w:rPr/>
        <w:t xml:space="preserve"> </w:t>
      </w:r>
      <w:r w:rsidR="00FB7247">
        <w:rPr/>
        <w:t>submitting</w:t>
      </w:r>
      <w:r w:rsidR="00FB7247">
        <w:rPr/>
        <w:t xml:space="preserve"> the revised thesis to the examiner(s) responsible for checking your amendments by the date stipulated on the examination outcome form. </w:t>
      </w:r>
    </w:p>
    <w:p w:rsidRPr="00D27B43" w:rsidR="00D27B43" w:rsidP="002D5EAF" w:rsidRDefault="000B6908" w14:paraId="243F2782" w14:textId="4F6A0970">
      <w:pPr>
        <w:pStyle w:val="Heading1"/>
        <w:numPr>
          <w:ilvl w:val="0"/>
          <w:numId w:val="24"/>
        </w:numPr>
        <w:rPr/>
      </w:pPr>
      <w:bookmarkStart w:name="_Toc1719393921" w:id="992777900"/>
      <w:r w:rsidR="000B6908">
        <w:rPr/>
        <w:t>Supervisor training</w:t>
      </w:r>
      <w:bookmarkEnd w:id="992777900"/>
      <w:r w:rsidR="000B6908">
        <w:rPr/>
        <w:t xml:space="preserve"> </w:t>
      </w:r>
    </w:p>
    <w:p w:rsidR="00D27B43" w:rsidP="4383924C" w:rsidRDefault="00D27B43" w14:paraId="7A7EA101" w14:textId="476F6B99">
      <w:pPr>
        <w:pStyle w:val="Normal"/>
        <w:suppressLineNumbers w:val="0"/>
        <w:bidi w:val="0"/>
        <w:spacing w:before="0" w:beforeAutospacing="off" w:after="160" w:afterAutospacing="off" w:line="259" w:lineRule="auto"/>
        <w:ind w:left="0" w:right="0"/>
        <w:jc w:val="left"/>
      </w:pPr>
      <w:r w:rsidR="00D27B43">
        <w:rPr/>
        <w:t xml:space="preserve">It is mandatory that all </w:t>
      </w:r>
      <w:r w:rsidR="00D27B43">
        <w:rPr/>
        <w:t xml:space="preserve">new supervisors </w:t>
      </w:r>
      <w:r w:rsidR="00D27B43">
        <w:rPr/>
        <w:t xml:space="preserve">attend New Supervisor Training, and all existing supervisors ensure that they are up to date with the Supervisor Refresher Training, which must </w:t>
      </w:r>
      <w:r w:rsidR="00D27B43">
        <w:rPr/>
        <w:t>be</w:t>
      </w:r>
      <w:r w:rsidR="2FAB2F61">
        <w:rPr/>
        <w:t xml:space="preserve"> </w:t>
      </w:r>
      <w:r w:rsidR="4ED88BF9">
        <w:rPr/>
        <w:t>completed</w:t>
      </w:r>
      <w:r w:rsidR="00D27B43">
        <w:rPr/>
        <w:t xml:space="preserve"> every two years. </w:t>
      </w:r>
      <w:r w:rsidR="00E36EE8">
        <w:rPr/>
        <w:t>Both</w:t>
      </w:r>
      <w:r w:rsidR="00D27B43">
        <w:rPr/>
        <w:t xml:space="preserve"> training modules are available on </w:t>
      </w:r>
      <w:r w:rsidR="004F3E6C">
        <w:rPr/>
        <w:t>QMPlus</w:t>
      </w:r>
      <w:r w:rsidR="004F3E6C">
        <w:rPr/>
        <w:t xml:space="preserve"> </w:t>
      </w:r>
      <w:hyperlink r:id="R4e71c122cac34e6b">
        <w:r w:rsidRPr="2FD17568" w:rsidR="13DA5B68">
          <w:rPr>
            <w:rStyle w:val="Hyperlink"/>
          </w:rPr>
          <w:t>here</w:t>
        </w:r>
      </w:hyperlink>
      <w:r w:rsidR="13DA5B68">
        <w:rPr/>
        <w:t xml:space="preserve"> </w:t>
      </w:r>
      <w:r w:rsidR="004F3E6C">
        <w:rPr/>
        <w:t>and</w:t>
      </w:r>
      <w:r w:rsidR="00D27B43">
        <w:rPr/>
        <w:t xml:space="preserve"> are self-taught sessions which you can do at a time that suits you. </w:t>
      </w:r>
    </w:p>
    <w:p w:rsidRPr="00D27B43" w:rsidR="00D27B43" w:rsidP="00D27B43" w:rsidRDefault="00D27B43" w14:paraId="2D3293B3" w14:textId="14A4EBBE">
      <w:r>
        <w:t xml:space="preserve">Completion of these training courses is monitored by the Research Administrator, and supervisors who are not up to date with their training will not be allowed to take on new students until the training is completed. </w:t>
      </w:r>
    </w:p>
    <w:p w:rsidR="00D27B43" w:rsidP="002D5EAF" w:rsidRDefault="00302206" w14:paraId="0FC12651" w14:textId="1986D87B">
      <w:pPr>
        <w:pStyle w:val="Heading1"/>
        <w:numPr>
          <w:ilvl w:val="0"/>
          <w:numId w:val="24"/>
        </w:numPr>
        <w:rPr/>
      </w:pPr>
      <w:bookmarkStart w:name="_Toc1335632933" w:id="1216996472"/>
      <w:r w:rsidR="00302206">
        <w:rPr/>
        <w:t>Supporting Student Wellbeing</w:t>
      </w:r>
      <w:bookmarkEnd w:id="1216996472"/>
    </w:p>
    <w:p w:rsidR="6787C5AC" w:rsidP="2FD17568" w:rsidRDefault="6787C5AC" w14:paraId="3FF82510" w14:textId="74A63E61">
      <w:pPr>
        <w:rPr>
          <w:rFonts w:ascii="Aptos" w:hAnsi="Aptos" w:eastAsia="Aptos" w:cs="Aptos" w:asciiTheme="minorAscii" w:hAnsiTheme="minorAscii" w:eastAsiaTheme="minorAscii" w:cstheme="minorAscii"/>
          <w:noProof w:val="0"/>
          <w:sz w:val="22"/>
          <w:szCs w:val="22"/>
          <w:lang w:val="en-GB"/>
        </w:rPr>
      </w:pPr>
      <w:r w:rsidRPr="2FD17568" w:rsidR="6787C5AC">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Part of your role as a student’s supervisor is to support their wellbeing. A PhD is a challenging undertaking, which can bring about various stresses for both the student and supervisor. </w:t>
      </w:r>
      <w:r w:rsidRPr="2FD17568" w:rsidR="6787C5AC">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It’s</w:t>
      </w:r>
      <w:r w:rsidRPr="2FD17568" w:rsidR="6787C5AC">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 xml:space="preserve"> important to be aware of the resources available to help manage these pressures and navigate </w:t>
      </w:r>
      <w:r w:rsidRPr="2FD17568" w:rsidR="6787C5AC">
        <w:rPr>
          <w:rFonts w:ascii="Aptos" w:hAnsi="Aptos" w:eastAsia="Aptos" w:cs="Aptos" w:asciiTheme="minorAscii" w:hAnsiTheme="minorAscii" w:eastAsiaTheme="minorAscii" w:cstheme="minorAscii"/>
          <w:b w:val="0"/>
          <w:bCs w:val="0"/>
          <w:i w:val="0"/>
          <w:iCs w:val="0"/>
          <w:caps w:val="0"/>
          <w:smallCaps w:val="0"/>
          <w:noProof w:val="0"/>
          <w:color w:val="333333"/>
          <w:sz w:val="22"/>
          <w:szCs w:val="22"/>
          <w:lang w:val="en-GB"/>
        </w:rPr>
        <w:t>difficult situations</w:t>
      </w:r>
    </w:p>
    <w:p w:rsidR="004D7830" w:rsidP="00302206" w:rsidRDefault="002C0B1D" w14:paraId="7BF729F1" w14:textId="4036C254">
      <w:r>
        <w:t xml:space="preserve">QMUL offers a series of training courses </w:t>
      </w:r>
      <w:r w:rsidR="004D7830">
        <w:t xml:space="preserve">for staff who manage researchers, designed to assist you in supporting </w:t>
      </w:r>
      <w:r w:rsidR="004F3E6C">
        <w:t>students’</w:t>
      </w:r>
      <w:r w:rsidR="004D7830">
        <w:t xml:space="preserve"> mental health and wellbeing. Information can be found here: </w:t>
      </w:r>
      <w:hyperlink w:history="1" r:id="rId12">
        <w:r w:rsidRPr="00F45B24" w:rsidR="004D7830">
          <w:rPr>
            <w:rStyle w:val="Hyperlink"/>
          </w:rPr>
          <w:t>https://www.qmul.ac.uk/queenmaryacademy/academics/support-for-staff-who-manage-researchers/</w:t>
        </w:r>
      </w:hyperlink>
      <w:r w:rsidR="004D7830">
        <w:t>.</w:t>
      </w:r>
    </w:p>
    <w:p w:rsidR="00661297" w:rsidP="00302206" w:rsidRDefault="004D7830" w14:paraId="1C107EB9" w14:textId="5A4AC2E9">
      <w:r>
        <w:t xml:space="preserve">If you have concerns regarding the welfare of your student you can direct them to Advice and Counselling, who will be able to provide </w:t>
      </w:r>
      <w:r w:rsidR="00661297">
        <w:t xml:space="preserve">support to both you and them, full details can be found here: </w:t>
      </w:r>
      <w:hyperlink w:history="1" r:id="rId13">
        <w:r w:rsidRPr="00F45B24" w:rsidR="00661297">
          <w:rPr>
            <w:rStyle w:val="Hyperlink"/>
          </w:rPr>
          <w:t>https://www.qmul.ac.uk/welfare/</w:t>
        </w:r>
      </w:hyperlink>
    </w:p>
    <w:p w:rsidRPr="00302206" w:rsidR="00302206" w:rsidP="00302206" w:rsidRDefault="00773055" w14:paraId="38979A97" w14:textId="3E90FF6B">
      <w:pPr/>
      <w:r w:rsidR="00773055">
        <w:rPr/>
        <w:t>If you feel that there is a breakdown in your student/</w:t>
      </w:r>
      <w:r w:rsidR="00773055">
        <w:rPr/>
        <w:t>supervisor</w:t>
      </w:r>
      <w:r w:rsidR="00773055">
        <w:rPr/>
        <w:t xml:space="preserve"> relationship, then the DGS team can help mediate issues and support you with this. You should alert the team to potential issues as early as possible to allow </w:t>
      </w:r>
      <w:r w:rsidR="001F7CFA">
        <w:rPr/>
        <w:t xml:space="preserve">us </w:t>
      </w:r>
      <w:r w:rsidR="001F7CFA">
        <w:rPr/>
        <w:t xml:space="preserve">to </w:t>
      </w:r>
      <w:r w:rsidR="53504947">
        <w:rPr/>
        <w:t>work towards a resolution</w:t>
      </w:r>
      <w:r w:rsidR="001F7CFA">
        <w:rPr/>
        <w:t xml:space="preserve"> </w:t>
      </w:r>
      <w:r w:rsidR="001F7CFA">
        <w:rPr/>
        <w:t xml:space="preserve">before the escalate. If you have any concerns about your students and need advice then please </w:t>
      </w:r>
      <w:r w:rsidR="001F7CFA">
        <w:rPr/>
        <w:t xml:space="preserve">contact Afia Ali </w:t>
      </w:r>
      <w:hyperlink r:id="Ra3313e708709442d">
        <w:r w:rsidRPr="2FD17568" w:rsidR="001F7CFA">
          <w:rPr>
            <w:rStyle w:val="Hyperlink"/>
          </w:rPr>
          <w:t>afia.ali@qmul.ac.uk</w:t>
        </w:r>
      </w:hyperlink>
      <w:r w:rsidR="001F7CFA">
        <w:rPr/>
        <w:t xml:space="preserve"> , Jamie </w:t>
      </w:r>
      <w:r w:rsidR="001F7CFA">
        <w:rPr/>
        <w:t>Ross</w:t>
      </w:r>
      <w:r w:rsidR="001F7CFA">
        <w:rPr/>
        <w:t xml:space="preserve"> </w:t>
      </w:r>
      <w:hyperlink r:id="R1140878a23314e19">
        <w:r w:rsidRPr="2FD17568" w:rsidR="001F7CFA">
          <w:rPr>
            <w:rStyle w:val="Hyperlink"/>
          </w:rPr>
          <w:t>jamie.ross@qmul.ac.uk</w:t>
        </w:r>
      </w:hyperlink>
      <w:r w:rsidR="001F7CFA">
        <w:rPr/>
        <w:t xml:space="preserve"> or Patrick Mullan </w:t>
      </w:r>
      <w:hyperlink r:id="R27f7e38ad0424ccd">
        <w:r w:rsidRPr="2FD17568" w:rsidR="001F7CFA">
          <w:rPr>
            <w:rStyle w:val="Hyperlink"/>
          </w:rPr>
          <w:t>p.mullan@qmul.ac.uk</w:t>
        </w:r>
      </w:hyperlink>
      <w:r w:rsidR="001F7CFA">
        <w:rPr/>
        <w:t xml:space="preserve"> </w:t>
      </w:r>
    </w:p>
    <w:p w:rsidR="4383924C" w:rsidRDefault="4383924C" w14:paraId="337AA553" w14:textId="56D2E9AE">
      <w:pPr/>
    </w:p>
    <w:p w:rsidR="4383924C" w:rsidP="2FD17568" w:rsidRDefault="4383924C" w14:paraId="730EBCE9" w14:textId="4AD7BA00">
      <w:pPr>
        <w:pStyle w:val="Heading1"/>
        <w:numPr>
          <w:ilvl w:val="0"/>
          <w:numId w:val="24"/>
        </w:numPr>
        <w:rPr/>
      </w:pPr>
      <w:bookmarkStart w:name="_Toc220274709" w:id="1260782365"/>
      <w:r w:rsidR="76F1959C">
        <w:rPr/>
        <w:t>Key Contacts</w:t>
      </w:r>
      <w:bookmarkEnd w:id="1260782365"/>
    </w:p>
    <w:p w:rsidR="4383924C" w:rsidRDefault="4383924C" w14:paraId="18B9A4A9" w14:textId="745E0C74">
      <w:pPr/>
    </w:p>
    <w:p w:rsidR="4383924C" w:rsidRDefault="4383924C" w14:paraId="55A1C759" w14:textId="4A2B853F">
      <w:pPr/>
      <w:r w:rsidR="76F1959C">
        <w:rPr/>
        <w:t xml:space="preserve">Co-Director of Graduate Studies -  Afia Ali </w:t>
      </w:r>
      <w:hyperlink r:id="R04524ff7583847b3">
        <w:r w:rsidRPr="2FD17568" w:rsidR="76F1959C">
          <w:rPr>
            <w:rStyle w:val="Hyperlink"/>
          </w:rPr>
          <w:t>afia.ali@qmul.ac.uk</w:t>
        </w:r>
      </w:hyperlink>
      <w:r w:rsidR="76F1959C">
        <w:rPr/>
        <w:t xml:space="preserve"> </w:t>
      </w:r>
    </w:p>
    <w:p w:rsidR="4383924C" w:rsidRDefault="4383924C" w14:paraId="3104E510" w14:textId="63B4CC40">
      <w:pPr/>
      <w:r w:rsidR="76F1959C">
        <w:rPr/>
        <w:t xml:space="preserve">Co-Director of Graduate Studies -  Jamie Ross </w:t>
      </w:r>
      <w:hyperlink r:id="R38aba2add2614020">
        <w:r w:rsidRPr="2FD17568" w:rsidR="76F1959C">
          <w:rPr>
            <w:rStyle w:val="Hyperlink"/>
          </w:rPr>
          <w:t>jamie.ross@qmul.ac.uk</w:t>
        </w:r>
      </w:hyperlink>
      <w:r w:rsidR="76F1959C">
        <w:rPr/>
        <w:t xml:space="preserve"> </w:t>
      </w:r>
    </w:p>
    <w:p w:rsidR="4383924C" w:rsidRDefault="4383924C" w14:paraId="1A48F5C4" w14:textId="62E135C3">
      <w:pPr/>
      <w:r w:rsidR="76F1959C">
        <w:rPr/>
        <w:t xml:space="preserve">Deputy Director of Graduate Studies – Nina Fudge </w:t>
      </w:r>
      <w:hyperlink r:id="Rdc699683596d4b34">
        <w:r w:rsidRPr="2FD17568" w:rsidR="76F1959C">
          <w:rPr>
            <w:rStyle w:val="Hyperlink"/>
          </w:rPr>
          <w:t>n.fudge@qmul.ac.uk</w:t>
        </w:r>
      </w:hyperlink>
      <w:r w:rsidR="76F1959C">
        <w:rPr/>
        <w:t xml:space="preserve"> </w:t>
      </w:r>
    </w:p>
    <w:p w:rsidR="4383924C" w:rsidRDefault="4383924C" w14:paraId="1940C9ED" w14:textId="3CCBE78E">
      <w:pPr/>
      <w:r w:rsidR="76F1959C">
        <w:rPr/>
        <w:t xml:space="preserve">Research Administrator Patrick Mullan </w:t>
      </w:r>
      <w:hyperlink r:id="R1a9ee29ac37344d9">
        <w:r w:rsidRPr="2FD17568" w:rsidR="76F1959C">
          <w:rPr>
            <w:rStyle w:val="Hyperlink"/>
          </w:rPr>
          <w:t>p.mullan@qmul.ac.uk</w:t>
        </w:r>
      </w:hyperlink>
    </w:p>
    <w:p w:rsidR="4383924C" w:rsidRDefault="4383924C" w14:paraId="7EA577B7" w14:textId="6BB68870">
      <w:pPr/>
    </w:p>
    <w:sectPr w:rsidRPr="00302206" w:rsidR="00302206">
      <w:pgSz w:w="11906" w:h="16838" w:orient="portrait"/>
      <w:pgMar w:top="1440" w:right="1440" w:bottom="1440" w:left="1440" w:header="708" w:footer="708" w:gutter="0"/>
      <w:cols w:space="708"/>
      <w:docGrid w:linePitch="360"/>
      <w:headerReference w:type="default" r:id="R05852037d0864647"/>
      <w:footerReference w:type="default" r:id="R386a034e32424d9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FD17568" w:rsidTr="2FD17568" w14:paraId="0C229A28">
      <w:trPr>
        <w:trHeight w:val="300"/>
      </w:trPr>
      <w:tc>
        <w:tcPr>
          <w:tcW w:w="3005" w:type="dxa"/>
          <w:tcMar/>
        </w:tcPr>
        <w:p w:rsidR="2FD17568" w:rsidP="2FD17568" w:rsidRDefault="2FD17568" w14:paraId="0D4ACA44" w14:textId="79C3FC92">
          <w:pPr>
            <w:pStyle w:val="Header"/>
            <w:bidi w:val="0"/>
            <w:ind w:left="-115"/>
            <w:jc w:val="left"/>
          </w:pPr>
          <w:r w:rsidR="2FD17568">
            <w:rPr/>
            <w:t>Last edited 06/03/2025</w:t>
          </w:r>
        </w:p>
      </w:tc>
      <w:tc>
        <w:tcPr>
          <w:tcW w:w="3005" w:type="dxa"/>
          <w:tcMar/>
        </w:tcPr>
        <w:p w:rsidR="2FD17568" w:rsidP="2FD17568" w:rsidRDefault="2FD17568" w14:paraId="7E9F42C5" w14:textId="3823801F">
          <w:pPr>
            <w:pStyle w:val="Header"/>
            <w:bidi w:val="0"/>
            <w:jc w:val="center"/>
          </w:pPr>
        </w:p>
      </w:tc>
      <w:tc>
        <w:tcPr>
          <w:tcW w:w="3005" w:type="dxa"/>
          <w:tcMar/>
        </w:tcPr>
        <w:p w:rsidR="2FD17568" w:rsidP="2FD17568" w:rsidRDefault="2FD17568" w14:paraId="786D917F" w14:textId="30324D70">
          <w:pPr>
            <w:pStyle w:val="Header"/>
            <w:bidi w:val="0"/>
            <w:ind w:right="-115"/>
            <w:jc w:val="right"/>
          </w:pPr>
        </w:p>
      </w:tc>
    </w:tr>
  </w:tbl>
  <w:p w:rsidR="2FD17568" w:rsidP="2FD17568" w:rsidRDefault="2FD17568" w14:paraId="555BAA67" w14:textId="3F90847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FD17568" w:rsidTr="2FD17568" w14:paraId="03047EBA">
      <w:trPr>
        <w:trHeight w:val="300"/>
      </w:trPr>
      <w:tc>
        <w:tcPr>
          <w:tcW w:w="3005" w:type="dxa"/>
          <w:tcMar/>
        </w:tcPr>
        <w:p w:rsidR="2FD17568" w:rsidP="2FD17568" w:rsidRDefault="2FD17568" w14:paraId="05D61EE7" w14:textId="4C2A8996">
          <w:pPr>
            <w:pStyle w:val="Header"/>
            <w:bidi w:val="0"/>
            <w:ind w:left="-115"/>
            <w:jc w:val="left"/>
          </w:pPr>
        </w:p>
      </w:tc>
      <w:tc>
        <w:tcPr>
          <w:tcW w:w="3005" w:type="dxa"/>
          <w:tcMar/>
        </w:tcPr>
        <w:p w:rsidR="2FD17568" w:rsidP="2FD17568" w:rsidRDefault="2FD17568" w14:paraId="54DA01F8" w14:textId="7D0EB29A">
          <w:pPr>
            <w:pStyle w:val="Header"/>
            <w:bidi w:val="0"/>
            <w:jc w:val="center"/>
          </w:pPr>
        </w:p>
      </w:tc>
      <w:tc>
        <w:tcPr>
          <w:tcW w:w="3005" w:type="dxa"/>
          <w:tcMar/>
        </w:tcPr>
        <w:p w:rsidR="2FD17568" w:rsidP="2FD17568" w:rsidRDefault="2FD17568" w14:paraId="336CE655" w14:textId="4C11FA9D">
          <w:pPr>
            <w:pStyle w:val="Header"/>
            <w:bidi w:val="0"/>
            <w:ind w:right="-115"/>
            <w:jc w:val="right"/>
          </w:pPr>
        </w:p>
      </w:tc>
    </w:tr>
  </w:tbl>
  <w:p w:rsidR="2FD17568" w:rsidP="2FD17568" w:rsidRDefault="2FD17568" w14:paraId="2B7716F7" w14:textId="3F58A810">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3">
    <w:nsid w:val="1c50b9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707AD2"/>
    <w:multiLevelType w:val="hybridMultilevel"/>
    <w:tmpl w:val="B0D45308"/>
    <w:lvl w:ilvl="0" w:tplc="B7E0937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B4AD9"/>
    <w:multiLevelType w:val="multilevel"/>
    <w:tmpl w:val="53348D2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8A6B93"/>
    <w:multiLevelType w:val="hybridMultilevel"/>
    <w:tmpl w:val="47D87608"/>
    <w:lvl w:ilvl="0" w:tplc="B970843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63F109D"/>
    <w:multiLevelType w:val="hybridMultilevel"/>
    <w:tmpl w:val="034E454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A5AC1"/>
    <w:multiLevelType w:val="multilevel"/>
    <w:tmpl w:val="D0A62A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89541D6"/>
    <w:multiLevelType w:val="hybridMultilevel"/>
    <w:tmpl w:val="1652C8E0"/>
    <w:lvl w:ilvl="0" w:tplc="B970843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B583C45"/>
    <w:multiLevelType w:val="multilevel"/>
    <w:tmpl w:val="E35258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23B64892"/>
    <w:multiLevelType w:val="multilevel"/>
    <w:tmpl w:val="AF7EEC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4231173"/>
    <w:multiLevelType w:val="multilevel"/>
    <w:tmpl w:val="501C9F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A885F32"/>
    <w:multiLevelType w:val="hybridMultilevel"/>
    <w:tmpl w:val="BD8E60B8"/>
    <w:lvl w:ilvl="0" w:tplc="557012F2">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6C0B07"/>
    <w:multiLevelType w:val="multilevel"/>
    <w:tmpl w:val="56F453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50CB5036"/>
    <w:multiLevelType w:val="hybridMultilevel"/>
    <w:tmpl w:val="CE32DA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BB91C1D"/>
    <w:multiLevelType w:val="hybridMultilevel"/>
    <w:tmpl w:val="5AAAB8BC"/>
    <w:lvl w:ilvl="0" w:tplc="B970843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C807516"/>
    <w:multiLevelType w:val="multilevel"/>
    <w:tmpl w:val="382C3F9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E220BA4"/>
    <w:multiLevelType w:val="hybridMultilevel"/>
    <w:tmpl w:val="62280FC0"/>
    <w:lvl w:ilvl="0" w:tplc="67348C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81DA6"/>
    <w:multiLevelType w:val="hybridMultilevel"/>
    <w:tmpl w:val="272628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B2D6B73"/>
    <w:multiLevelType w:val="hybridMultilevel"/>
    <w:tmpl w:val="D130D4BA"/>
    <w:lvl w:ilvl="0" w:tplc="08090003">
      <w:start w:val="1"/>
      <w:numFmt w:val="bullet"/>
      <w:lvlText w:val="o"/>
      <w:lvlJc w:val="left"/>
      <w:pPr>
        <w:ind w:left="1440" w:hanging="360"/>
      </w:pPr>
      <w:rPr>
        <w:rFonts w:hint="default" w:ascii="Courier New" w:hAnsi="Courier New" w:cs="Courier New"/>
      </w:rPr>
    </w:lvl>
    <w:lvl w:ilvl="1" w:tplc="08090003">
      <w:start w:val="1"/>
      <w:numFmt w:val="bullet"/>
      <w:lvlText w:val="o"/>
      <w:lvlJc w:val="left"/>
      <w:pPr>
        <w:ind w:left="2160" w:hanging="360"/>
      </w:pPr>
      <w:rPr>
        <w:rFonts w:hint="default" w:ascii="Courier New" w:hAnsi="Courier New" w:cs="Courier New"/>
      </w:rPr>
    </w:lvl>
    <w:lvl w:ilvl="2" w:tplc="08090005">
      <w:start w:val="1"/>
      <w:numFmt w:val="bullet"/>
      <w:lvlText w:val=""/>
      <w:lvlJc w:val="left"/>
      <w:pPr>
        <w:ind w:left="2880" w:hanging="360"/>
      </w:pPr>
      <w:rPr>
        <w:rFonts w:hint="default" w:ascii="Wingdings" w:hAnsi="Wingdings"/>
      </w:rPr>
    </w:lvl>
    <w:lvl w:ilvl="3" w:tplc="08090001">
      <w:start w:val="1"/>
      <w:numFmt w:val="bullet"/>
      <w:lvlText w:val=""/>
      <w:lvlJc w:val="left"/>
      <w:pPr>
        <w:ind w:left="3600" w:hanging="360"/>
      </w:pPr>
      <w:rPr>
        <w:rFonts w:hint="default" w:ascii="Symbol" w:hAnsi="Symbol"/>
      </w:rPr>
    </w:lvl>
    <w:lvl w:ilvl="4" w:tplc="08090003">
      <w:start w:val="1"/>
      <w:numFmt w:val="bullet"/>
      <w:lvlText w:val="o"/>
      <w:lvlJc w:val="left"/>
      <w:pPr>
        <w:ind w:left="4320" w:hanging="360"/>
      </w:pPr>
      <w:rPr>
        <w:rFonts w:hint="default" w:ascii="Courier New" w:hAnsi="Courier New" w:cs="Courier New"/>
      </w:rPr>
    </w:lvl>
    <w:lvl w:ilvl="5" w:tplc="08090005">
      <w:start w:val="1"/>
      <w:numFmt w:val="bullet"/>
      <w:lvlText w:val=""/>
      <w:lvlJc w:val="left"/>
      <w:pPr>
        <w:ind w:left="5040" w:hanging="360"/>
      </w:pPr>
      <w:rPr>
        <w:rFonts w:hint="default" w:ascii="Wingdings" w:hAnsi="Wingdings"/>
      </w:rPr>
    </w:lvl>
    <w:lvl w:ilvl="6" w:tplc="08090001">
      <w:start w:val="1"/>
      <w:numFmt w:val="bullet"/>
      <w:lvlText w:val=""/>
      <w:lvlJc w:val="left"/>
      <w:pPr>
        <w:ind w:left="5760" w:hanging="360"/>
      </w:pPr>
      <w:rPr>
        <w:rFonts w:hint="default" w:ascii="Symbol" w:hAnsi="Symbol"/>
      </w:rPr>
    </w:lvl>
    <w:lvl w:ilvl="7" w:tplc="08090003">
      <w:start w:val="1"/>
      <w:numFmt w:val="bullet"/>
      <w:lvlText w:val="o"/>
      <w:lvlJc w:val="left"/>
      <w:pPr>
        <w:ind w:left="6480" w:hanging="360"/>
      </w:pPr>
      <w:rPr>
        <w:rFonts w:hint="default" w:ascii="Courier New" w:hAnsi="Courier New" w:cs="Courier New"/>
      </w:rPr>
    </w:lvl>
    <w:lvl w:ilvl="8" w:tplc="08090005">
      <w:start w:val="1"/>
      <w:numFmt w:val="bullet"/>
      <w:lvlText w:val=""/>
      <w:lvlJc w:val="left"/>
      <w:pPr>
        <w:ind w:left="7200" w:hanging="360"/>
      </w:pPr>
      <w:rPr>
        <w:rFonts w:hint="default" w:ascii="Wingdings" w:hAnsi="Wingdings"/>
      </w:rPr>
    </w:lvl>
  </w:abstractNum>
  <w:abstractNum w:abstractNumId="17" w15:restartNumberingAfterBreak="0">
    <w:nsid w:val="70DB518D"/>
    <w:multiLevelType w:val="hybridMultilevel"/>
    <w:tmpl w:val="5316D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2B1BBE"/>
    <w:multiLevelType w:val="hybridMultilevel"/>
    <w:tmpl w:val="6FB4D6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4B26F4"/>
    <w:multiLevelType w:val="multilevel"/>
    <w:tmpl w:val="2FFC503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7A13005F"/>
    <w:multiLevelType w:val="hybridMultilevel"/>
    <w:tmpl w:val="C910DEB2"/>
    <w:lvl w:ilvl="0" w:tplc="B970843C">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B070A74"/>
    <w:multiLevelType w:val="multilevel"/>
    <w:tmpl w:val="766A4F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BDD1926"/>
    <w:multiLevelType w:val="multilevel"/>
    <w:tmpl w:val="F7FAB6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num w:numId="25">
    <w:abstractNumId w:val="23"/>
  </w:num>
  <w:num w:numId="1" w16cid:durableId="912590951">
    <w:abstractNumId w:val="22"/>
  </w:num>
  <w:num w:numId="2" w16cid:durableId="718478400">
    <w:abstractNumId w:val="1"/>
  </w:num>
  <w:num w:numId="3" w16cid:durableId="1037896739">
    <w:abstractNumId w:val="7"/>
  </w:num>
  <w:num w:numId="4" w16cid:durableId="254437555">
    <w:abstractNumId w:val="8"/>
  </w:num>
  <w:num w:numId="5" w16cid:durableId="1710762668">
    <w:abstractNumId w:val="10"/>
  </w:num>
  <w:num w:numId="6" w16cid:durableId="1717655235">
    <w:abstractNumId w:val="13"/>
  </w:num>
  <w:num w:numId="7" w16cid:durableId="1545747482">
    <w:abstractNumId w:val="6"/>
  </w:num>
  <w:num w:numId="8" w16cid:durableId="1709723511">
    <w:abstractNumId w:val="21"/>
  </w:num>
  <w:num w:numId="9" w16cid:durableId="198132282">
    <w:abstractNumId w:val="4"/>
  </w:num>
  <w:num w:numId="10" w16cid:durableId="1283147901">
    <w:abstractNumId w:val="16"/>
  </w:num>
  <w:num w:numId="11" w16cid:durableId="1131173708">
    <w:abstractNumId w:val="19"/>
  </w:num>
  <w:num w:numId="12" w16cid:durableId="693118148">
    <w:abstractNumId w:val="17"/>
  </w:num>
  <w:num w:numId="13" w16cid:durableId="162087271">
    <w:abstractNumId w:val="16"/>
  </w:num>
  <w:num w:numId="14" w16cid:durableId="1765034863">
    <w:abstractNumId w:val="9"/>
  </w:num>
  <w:num w:numId="15" w16cid:durableId="888954017">
    <w:abstractNumId w:val="12"/>
  </w:num>
  <w:num w:numId="16" w16cid:durableId="773284380">
    <w:abstractNumId w:val="3"/>
  </w:num>
  <w:num w:numId="17" w16cid:durableId="1338268243">
    <w:abstractNumId w:val="0"/>
  </w:num>
  <w:num w:numId="18" w16cid:durableId="1665206451">
    <w:abstractNumId w:val="18"/>
  </w:num>
  <w:num w:numId="19" w16cid:durableId="1638100320">
    <w:abstractNumId w:val="11"/>
  </w:num>
  <w:num w:numId="20" w16cid:durableId="551381706">
    <w:abstractNumId w:val="15"/>
  </w:num>
  <w:num w:numId="21" w16cid:durableId="1999768092">
    <w:abstractNumId w:val="5"/>
  </w:num>
  <w:num w:numId="22" w16cid:durableId="665281502">
    <w:abstractNumId w:val="20"/>
  </w:num>
  <w:num w:numId="23" w16cid:durableId="1659921331">
    <w:abstractNumId w:val="2"/>
  </w:num>
  <w:num w:numId="24" w16cid:durableId="589512552">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D702D"/>
    <w:rsid w:val="000B6908"/>
    <w:rsid w:val="001072F4"/>
    <w:rsid w:val="00141F7C"/>
    <w:rsid w:val="00156BD2"/>
    <w:rsid w:val="00184BC1"/>
    <w:rsid w:val="001F7CFA"/>
    <w:rsid w:val="002457AA"/>
    <w:rsid w:val="002A62B2"/>
    <w:rsid w:val="002C0B1D"/>
    <w:rsid w:val="002D5EAF"/>
    <w:rsid w:val="00302206"/>
    <w:rsid w:val="003450C5"/>
    <w:rsid w:val="003F656B"/>
    <w:rsid w:val="00416A8D"/>
    <w:rsid w:val="004678F7"/>
    <w:rsid w:val="00494232"/>
    <w:rsid w:val="004D7830"/>
    <w:rsid w:val="004F3E6C"/>
    <w:rsid w:val="00561F49"/>
    <w:rsid w:val="00586BCB"/>
    <w:rsid w:val="005A30BF"/>
    <w:rsid w:val="005F1A23"/>
    <w:rsid w:val="005F464D"/>
    <w:rsid w:val="00661297"/>
    <w:rsid w:val="006D0642"/>
    <w:rsid w:val="00773055"/>
    <w:rsid w:val="007915CD"/>
    <w:rsid w:val="007B6374"/>
    <w:rsid w:val="008053BE"/>
    <w:rsid w:val="008B277D"/>
    <w:rsid w:val="008F5185"/>
    <w:rsid w:val="00922B98"/>
    <w:rsid w:val="009532F2"/>
    <w:rsid w:val="009964F4"/>
    <w:rsid w:val="00A27E98"/>
    <w:rsid w:val="00A71104"/>
    <w:rsid w:val="00A770D5"/>
    <w:rsid w:val="00A97433"/>
    <w:rsid w:val="00AE623C"/>
    <w:rsid w:val="00B0689D"/>
    <w:rsid w:val="00B726D8"/>
    <w:rsid w:val="00B941A4"/>
    <w:rsid w:val="00C21C6F"/>
    <w:rsid w:val="00C27B5A"/>
    <w:rsid w:val="00C6728D"/>
    <w:rsid w:val="00D04227"/>
    <w:rsid w:val="00D06313"/>
    <w:rsid w:val="00D22BD0"/>
    <w:rsid w:val="00D27B43"/>
    <w:rsid w:val="00D6030B"/>
    <w:rsid w:val="00DA3438"/>
    <w:rsid w:val="00DA6C9E"/>
    <w:rsid w:val="00DD702D"/>
    <w:rsid w:val="00E36EE8"/>
    <w:rsid w:val="00E374F3"/>
    <w:rsid w:val="00EC04B9"/>
    <w:rsid w:val="00EC79C3"/>
    <w:rsid w:val="00F726F2"/>
    <w:rsid w:val="00FA55D7"/>
    <w:rsid w:val="00FB7247"/>
    <w:rsid w:val="00FB78E3"/>
    <w:rsid w:val="00FC765F"/>
    <w:rsid w:val="00FE70FF"/>
    <w:rsid w:val="00FF4BD1"/>
    <w:rsid w:val="0357D9C5"/>
    <w:rsid w:val="04487678"/>
    <w:rsid w:val="04FAE318"/>
    <w:rsid w:val="06084978"/>
    <w:rsid w:val="0617C555"/>
    <w:rsid w:val="08FF93A4"/>
    <w:rsid w:val="09638DD4"/>
    <w:rsid w:val="0A917E00"/>
    <w:rsid w:val="0B4E9A7A"/>
    <w:rsid w:val="0CCD0348"/>
    <w:rsid w:val="0DFC2B6E"/>
    <w:rsid w:val="0F240E5F"/>
    <w:rsid w:val="111B8540"/>
    <w:rsid w:val="121DBD53"/>
    <w:rsid w:val="12AA10AC"/>
    <w:rsid w:val="13DA5B68"/>
    <w:rsid w:val="1433BF5E"/>
    <w:rsid w:val="14BA34DD"/>
    <w:rsid w:val="199C5466"/>
    <w:rsid w:val="19D949B6"/>
    <w:rsid w:val="1E2F3A9B"/>
    <w:rsid w:val="1E3C0298"/>
    <w:rsid w:val="2041DA0B"/>
    <w:rsid w:val="21376D5D"/>
    <w:rsid w:val="21C31F91"/>
    <w:rsid w:val="21D606FF"/>
    <w:rsid w:val="2266F7E6"/>
    <w:rsid w:val="23155437"/>
    <w:rsid w:val="25C8EC83"/>
    <w:rsid w:val="27241D2D"/>
    <w:rsid w:val="27D50938"/>
    <w:rsid w:val="280172DE"/>
    <w:rsid w:val="28E1353F"/>
    <w:rsid w:val="28F456C6"/>
    <w:rsid w:val="2A173AEA"/>
    <w:rsid w:val="2A4F6D25"/>
    <w:rsid w:val="2A8AB999"/>
    <w:rsid w:val="2CA9789B"/>
    <w:rsid w:val="2D9EB06F"/>
    <w:rsid w:val="2F0D22CA"/>
    <w:rsid w:val="2F396E37"/>
    <w:rsid w:val="2FAB2F61"/>
    <w:rsid w:val="2FD17568"/>
    <w:rsid w:val="3050C16B"/>
    <w:rsid w:val="3083E5D6"/>
    <w:rsid w:val="31F058AE"/>
    <w:rsid w:val="31FE7305"/>
    <w:rsid w:val="32192A2C"/>
    <w:rsid w:val="3289DCD5"/>
    <w:rsid w:val="33EFE4E5"/>
    <w:rsid w:val="36B575E8"/>
    <w:rsid w:val="3748DEC8"/>
    <w:rsid w:val="389197A1"/>
    <w:rsid w:val="38CAB09C"/>
    <w:rsid w:val="3993C1D0"/>
    <w:rsid w:val="3C4DD08D"/>
    <w:rsid w:val="3D182730"/>
    <w:rsid w:val="3DAD9AB7"/>
    <w:rsid w:val="3F429B1B"/>
    <w:rsid w:val="403EFF20"/>
    <w:rsid w:val="418888C8"/>
    <w:rsid w:val="42676948"/>
    <w:rsid w:val="4383924C"/>
    <w:rsid w:val="43B66BB9"/>
    <w:rsid w:val="4A545E6B"/>
    <w:rsid w:val="4B9CCFDA"/>
    <w:rsid w:val="4BF24C62"/>
    <w:rsid w:val="4CC77D18"/>
    <w:rsid w:val="4D8205B2"/>
    <w:rsid w:val="4E04683E"/>
    <w:rsid w:val="4E5F618F"/>
    <w:rsid w:val="4ED88BF9"/>
    <w:rsid w:val="4FA3AC6F"/>
    <w:rsid w:val="50079E64"/>
    <w:rsid w:val="50E7FAC4"/>
    <w:rsid w:val="519CC975"/>
    <w:rsid w:val="53469B53"/>
    <w:rsid w:val="53504947"/>
    <w:rsid w:val="549AA68E"/>
    <w:rsid w:val="549C33F5"/>
    <w:rsid w:val="54BB1312"/>
    <w:rsid w:val="55288C76"/>
    <w:rsid w:val="552DED72"/>
    <w:rsid w:val="567B994E"/>
    <w:rsid w:val="57F682C6"/>
    <w:rsid w:val="5DDAE05E"/>
    <w:rsid w:val="5DEE7A6E"/>
    <w:rsid w:val="5E93103B"/>
    <w:rsid w:val="5F997025"/>
    <w:rsid w:val="62181253"/>
    <w:rsid w:val="62C9858A"/>
    <w:rsid w:val="62EFBEE5"/>
    <w:rsid w:val="643266E8"/>
    <w:rsid w:val="64B8B631"/>
    <w:rsid w:val="655B6447"/>
    <w:rsid w:val="66A6FC69"/>
    <w:rsid w:val="673A4E2D"/>
    <w:rsid w:val="6787C5AC"/>
    <w:rsid w:val="6A95637D"/>
    <w:rsid w:val="6B02929C"/>
    <w:rsid w:val="6B3014BE"/>
    <w:rsid w:val="6B7E9710"/>
    <w:rsid w:val="6CEF91BB"/>
    <w:rsid w:val="6D6CD417"/>
    <w:rsid w:val="6D81D873"/>
    <w:rsid w:val="6E1D6877"/>
    <w:rsid w:val="6E391087"/>
    <w:rsid w:val="6E869E78"/>
    <w:rsid w:val="6FCEED9C"/>
    <w:rsid w:val="6FF4872A"/>
    <w:rsid w:val="7037E076"/>
    <w:rsid w:val="70640885"/>
    <w:rsid w:val="70D2DF99"/>
    <w:rsid w:val="76F1959C"/>
    <w:rsid w:val="773670F0"/>
    <w:rsid w:val="785733C6"/>
    <w:rsid w:val="7877A800"/>
    <w:rsid w:val="79091A43"/>
    <w:rsid w:val="79516C5F"/>
    <w:rsid w:val="7A163656"/>
    <w:rsid w:val="7A211583"/>
    <w:rsid w:val="7A21BAE1"/>
    <w:rsid w:val="7A383131"/>
    <w:rsid w:val="7C780939"/>
    <w:rsid w:val="7D8F3751"/>
    <w:rsid w:val="7DB1D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5435"/>
  <w15:chartTrackingRefBased/>
  <w15:docId w15:val="{B717E7A8-5C44-44FB-9583-9BAB763373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D70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0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0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0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0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0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0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0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0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D70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D70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D70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D70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D70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D70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D70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D70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D702D"/>
    <w:rPr>
      <w:rFonts w:eastAsiaTheme="majorEastAsia" w:cstheme="majorBidi"/>
      <w:color w:val="272727" w:themeColor="text1" w:themeTint="D8"/>
    </w:rPr>
  </w:style>
  <w:style w:type="paragraph" w:styleId="Title">
    <w:name w:val="Title"/>
    <w:basedOn w:val="Normal"/>
    <w:next w:val="Normal"/>
    <w:link w:val="TitleChar"/>
    <w:uiPriority w:val="10"/>
    <w:qFormat/>
    <w:rsid w:val="00DD70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D70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D70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D70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02D"/>
    <w:pPr>
      <w:spacing w:before="160"/>
      <w:jc w:val="center"/>
    </w:pPr>
    <w:rPr>
      <w:i/>
      <w:iCs/>
      <w:color w:val="404040" w:themeColor="text1" w:themeTint="BF"/>
    </w:rPr>
  </w:style>
  <w:style w:type="character" w:styleId="QuoteChar" w:customStyle="1">
    <w:name w:val="Quote Char"/>
    <w:basedOn w:val="DefaultParagraphFont"/>
    <w:link w:val="Quote"/>
    <w:uiPriority w:val="29"/>
    <w:rsid w:val="00DD702D"/>
    <w:rPr>
      <w:i/>
      <w:iCs/>
      <w:color w:val="404040" w:themeColor="text1" w:themeTint="BF"/>
    </w:rPr>
  </w:style>
  <w:style w:type="paragraph" w:styleId="ListParagraph">
    <w:name w:val="List Paragraph"/>
    <w:basedOn w:val="Normal"/>
    <w:uiPriority w:val="34"/>
    <w:qFormat/>
    <w:rsid w:val="00DD702D"/>
    <w:pPr>
      <w:ind w:left="720"/>
      <w:contextualSpacing/>
    </w:pPr>
  </w:style>
  <w:style w:type="character" w:styleId="IntenseEmphasis">
    <w:name w:val="Intense Emphasis"/>
    <w:basedOn w:val="DefaultParagraphFont"/>
    <w:uiPriority w:val="21"/>
    <w:qFormat/>
    <w:rsid w:val="00DD702D"/>
    <w:rPr>
      <w:i/>
      <w:iCs/>
      <w:color w:val="0F4761" w:themeColor="accent1" w:themeShade="BF"/>
    </w:rPr>
  </w:style>
  <w:style w:type="paragraph" w:styleId="IntenseQuote">
    <w:name w:val="Intense Quote"/>
    <w:basedOn w:val="Normal"/>
    <w:next w:val="Normal"/>
    <w:link w:val="IntenseQuoteChar"/>
    <w:uiPriority w:val="30"/>
    <w:qFormat/>
    <w:rsid w:val="00DD70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D702D"/>
    <w:rPr>
      <w:i/>
      <w:iCs/>
      <w:color w:val="0F4761" w:themeColor="accent1" w:themeShade="BF"/>
    </w:rPr>
  </w:style>
  <w:style w:type="character" w:styleId="IntenseReference">
    <w:name w:val="Intense Reference"/>
    <w:basedOn w:val="DefaultParagraphFont"/>
    <w:uiPriority w:val="32"/>
    <w:qFormat/>
    <w:rsid w:val="00DD702D"/>
    <w:rPr>
      <w:b/>
      <w:bCs/>
      <w:smallCaps/>
      <w:color w:val="0F4761" w:themeColor="accent1" w:themeShade="BF"/>
      <w:spacing w:val="5"/>
    </w:rPr>
  </w:style>
  <w:style w:type="character" w:styleId="Hyperlink">
    <w:name w:val="Hyperlink"/>
    <w:basedOn w:val="DefaultParagraphFont"/>
    <w:uiPriority w:val="99"/>
    <w:unhideWhenUsed/>
    <w:rsid w:val="00DD702D"/>
    <w:rPr>
      <w:color w:val="467886" w:themeColor="hyperlink"/>
      <w:u w:val="single"/>
    </w:rPr>
  </w:style>
  <w:style w:type="character" w:styleId="UnresolvedMention">
    <w:name w:val="Unresolved Mention"/>
    <w:basedOn w:val="DefaultParagraphFont"/>
    <w:uiPriority w:val="99"/>
    <w:semiHidden/>
    <w:unhideWhenUsed/>
    <w:rsid w:val="00DD702D"/>
    <w:rPr>
      <w:color w:val="605E5C"/>
      <w:shd w:val="clear" w:color="auto" w:fill="E1DFDD"/>
    </w:rPr>
  </w:style>
  <w:style w:type="paragraph" w:styleId="TOCHeading">
    <w:name w:val="TOC Heading"/>
    <w:basedOn w:val="Heading1"/>
    <w:next w:val="Normal"/>
    <w:uiPriority w:val="39"/>
    <w:unhideWhenUsed/>
    <w:qFormat/>
    <w:rsid w:val="00B0689D"/>
    <w:pPr>
      <w:spacing w:before="240" w:after="0"/>
      <w:outlineLvl w:val="9"/>
    </w:pPr>
    <w:rPr>
      <w:kern w:val="0"/>
      <w:sz w:val="32"/>
      <w:szCs w:val="32"/>
      <w:lang w:val="en-US"/>
    </w:rPr>
  </w:style>
  <w:style w:type="paragraph" w:styleId="TOC1">
    <w:name w:val="toc 1"/>
    <w:basedOn w:val="Normal"/>
    <w:next w:val="Normal"/>
    <w:autoRedefine/>
    <w:uiPriority w:val="39"/>
    <w:unhideWhenUsed/>
    <w:rsid w:val="002D5EAF"/>
    <w:pPr>
      <w:spacing w:after="100"/>
    </w:pPr>
  </w:style>
  <w:style w:type="paragraph" w:styleId="Header">
    <w:uiPriority w:val="99"/>
    <w:name w:val="header"/>
    <w:basedOn w:val="Normal"/>
    <w:unhideWhenUsed/>
    <w:rsid w:val="2FD17568"/>
    <w:pPr>
      <w:tabs>
        <w:tab w:val="center" w:leader="none" w:pos="4680"/>
        <w:tab w:val="right" w:leader="none" w:pos="9360"/>
      </w:tabs>
      <w:spacing w:after="0" w:line="240" w:lineRule="auto"/>
    </w:pPr>
  </w:style>
  <w:style w:type="paragraph" w:styleId="Footer">
    <w:uiPriority w:val="99"/>
    <w:name w:val="footer"/>
    <w:basedOn w:val="Normal"/>
    <w:unhideWhenUsed/>
    <w:rsid w:val="2FD1756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335694">
      <w:bodyDiv w:val="1"/>
      <w:marLeft w:val="0"/>
      <w:marRight w:val="0"/>
      <w:marTop w:val="0"/>
      <w:marBottom w:val="0"/>
      <w:divBdr>
        <w:top w:val="none" w:sz="0" w:space="0" w:color="auto"/>
        <w:left w:val="none" w:sz="0" w:space="0" w:color="auto"/>
        <w:bottom w:val="none" w:sz="0" w:space="0" w:color="auto"/>
        <w:right w:val="none" w:sz="0" w:space="0" w:color="auto"/>
      </w:divBdr>
    </w:div>
    <w:div w:id="149869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qmul.ac.uk/doctoralcollege/skills-training/doctoral-college-training/" TargetMode="External" Id="rId8" /><Relationship Type="http://schemas.openxmlformats.org/officeDocument/2006/relationships/hyperlink" Target="https://www.qmul.ac.uk/welfare/" TargetMode="Externa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customXml" Target="../customXml/item4.xml" Id="rId21" /><Relationship Type="http://schemas.openxmlformats.org/officeDocument/2006/relationships/hyperlink" Target="https://www.qmul.ac.uk/queenmaryacademy/academics/support-for-staff-who-manage-researchers/" TargetMode="Externa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hyperlink" Target="http://www.arcs.qmul.ac.uk/research-degrees/research-degree-students/examiner-nomination-and-exam-entry/" TargetMode="External" Id="rId10" /><Relationship Type="http://schemas.openxmlformats.org/officeDocument/2006/relationships/customXml" Target="../customXml/item2.xml" Id="rId19" /><Relationship Type="http://schemas.openxmlformats.org/officeDocument/2006/relationships/settings" Target="settings.xml" Id="rId4" /><Relationship Type="http://schemas.microsoft.com/office/2011/relationships/people" Target="people.xml" Id="Rdf8d3701de72492f" /><Relationship Type="http://schemas.microsoft.com/office/2011/relationships/commentsExtended" Target="commentsExtended.xml" Id="R543b5271d9084319" /><Relationship Type="http://schemas.microsoft.com/office/2016/09/relationships/commentsIds" Target="commentsIds.xml" Id="Rf7e6756c4e5a4648" /><Relationship Type="http://schemas.openxmlformats.org/officeDocument/2006/relationships/hyperlink" Target="mailto:p.mullan@qmul.ac.uk" TargetMode="External" Id="R40d44fd8b6ab42ce" /><Relationship Type="http://schemas.openxmlformats.org/officeDocument/2006/relationships/hyperlink" Target="mailto:p.mullan@qmul.ac.uk" TargetMode="External" Id="R28b9b09684ca4c29" /><Relationship Type="http://schemas.openxmlformats.org/officeDocument/2006/relationships/hyperlink" Target="https://qmulprod-my.sharepoint.com/:w:/g/personal/raw290_qmul_ac_uk/EY0Oy228CYxMqbnOctHVQcoBZW1U-VxAnFbKmAU65g2NFA?e=y9hpsl" TargetMode="External" Id="R648bf93d714e4ca6" /><Relationship Type="http://schemas.openxmlformats.org/officeDocument/2006/relationships/hyperlink" Target="https://www.qmul.ac.uk/registry-services/research-degrees/research-student-information/nomination-of-examiners-and-examination-entry/" TargetMode="External" Id="R15ad9a1bd25048fd" /><Relationship Type="http://schemas.openxmlformats.org/officeDocument/2006/relationships/hyperlink" Target="mailto:researchdegrees@qmul.ac.uk" TargetMode="External" Id="Red177d525a3a4af6" /><Relationship Type="http://schemas.openxmlformats.org/officeDocument/2006/relationships/hyperlink" Target="https://www.qmul.ac.uk/doctoralcollege/supervisors/training/" TargetMode="External" Id="R4e71c122cac34e6b" /><Relationship Type="http://schemas.openxmlformats.org/officeDocument/2006/relationships/hyperlink" Target="mailto:afia.ali@qmul.ac.uk" TargetMode="External" Id="Ra3313e708709442d" /><Relationship Type="http://schemas.openxmlformats.org/officeDocument/2006/relationships/hyperlink" Target="mailto:jamie.ross@qmul.ac.uk" TargetMode="External" Id="R1140878a23314e19" /><Relationship Type="http://schemas.openxmlformats.org/officeDocument/2006/relationships/hyperlink" Target="mailto:p.mullan@qmul.ac.uk" TargetMode="External" Id="R27f7e38ad0424ccd" /><Relationship Type="http://schemas.openxmlformats.org/officeDocument/2006/relationships/hyperlink" Target="mailto:afia.ali@qmul.ac.uk" TargetMode="External" Id="R04524ff7583847b3" /><Relationship Type="http://schemas.openxmlformats.org/officeDocument/2006/relationships/hyperlink" Target="mailto:jamie.ross@qmul.ac.uk" TargetMode="External" Id="R38aba2add2614020" /><Relationship Type="http://schemas.openxmlformats.org/officeDocument/2006/relationships/hyperlink" Target="mailto:nina.fudge@qmul.ac.uk" TargetMode="External" Id="Rdc699683596d4b34" /><Relationship Type="http://schemas.openxmlformats.org/officeDocument/2006/relationships/hyperlink" Target="mailto:p.mullan@qmul.ac.uk" TargetMode="External" Id="R1a9ee29ac37344d9" /><Relationship Type="http://schemas.openxmlformats.org/officeDocument/2006/relationships/header" Target="header.xml" Id="R05852037d0864647" /><Relationship Type="http://schemas.openxmlformats.org/officeDocument/2006/relationships/footer" Target="footer.xml" Id="R386a034e32424d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AD7F8815F3984DB037C0EB8CC9BED8" ma:contentTypeVersion="4" ma:contentTypeDescription="Create a new document." ma:contentTypeScope="" ma:versionID="e8635f24caa97dbe6d46998d4ef02309">
  <xsd:schema xmlns:xsd="http://www.w3.org/2001/XMLSchema" xmlns:xs="http://www.w3.org/2001/XMLSchema" xmlns:p="http://schemas.microsoft.com/office/2006/metadata/properties" xmlns:ns2="b550f28e-e846-414f-988e-04be55dbb8d3" targetNamespace="http://schemas.microsoft.com/office/2006/metadata/properties" ma:root="true" ma:fieldsID="7e3556d8b38f3a51180024fbabe91286" ns2:_="">
    <xsd:import namespace="b550f28e-e846-414f-988e-04be55dbb8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50f28e-e846-414f-988e-04be55dbb8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EBC9CE-2D1C-45F1-9B78-18975028C16F}">
  <ds:schemaRefs>
    <ds:schemaRef ds:uri="http://schemas.openxmlformats.org/officeDocument/2006/bibliography"/>
  </ds:schemaRefs>
</ds:datastoreItem>
</file>

<file path=customXml/itemProps2.xml><?xml version="1.0" encoding="utf-8"?>
<ds:datastoreItem xmlns:ds="http://schemas.openxmlformats.org/officeDocument/2006/customXml" ds:itemID="{96110333-05A6-4A2F-8162-B62C5CFE84F5}"/>
</file>

<file path=customXml/itemProps3.xml><?xml version="1.0" encoding="utf-8"?>
<ds:datastoreItem xmlns:ds="http://schemas.openxmlformats.org/officeDocument/2006/customXml" ds:itemID="{F7D855EA-65E2-44B2-8204-5E1AF431455D}"/>
</file>

<file path=customXml/itemProps4.xml><?xml version="1.0" encoding="utf-8"?>
<ds:datastoreItem xmlns:ds="http://schemas.openxmlformats.org/officeDocument/2006/customXml" ds:itemID="{F1D221E9-EFDC-4DFE-AA46-7E7E00E1BE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Queen Mary 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Patrick Mullan</dc:creator>
  <keywords/>
  <dc:description/>
  <lastModifiedBy>Patrick Mullan</lastModifiedBy>
  <revision>63</revision>
  <dcterms:created xsi:type="dcterms:W3CDTF">2024-12-10T09:41:00.0000000Z</dcterms:created>
  <dcterms:modified xsi:type="dcterms:W3CDTF">2025-03-06T11:59:15.7850261Z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0x01010017AD7F8815F3984DB037C0EB8CC9BED8</vt:lpwstr>
  </property>
</Properties>
</file>