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4AA3E" w14:textId="77777777" w:rsidR="009728F3" w:rsidRDefault="009728F3">
      <w:bookmarkStart w:id="0" w:name="_GoBack"/>
      <w:bookmarkEnd w:id="0"/>
    </w:p>
    <w:tbl>
      <w:tblPr>
        <w:tblStyle w:val="TableGrid"/>
        <w:tblW w:w="9791" w:type="dxa"/>
        <w:tblInd w:w="5" w:type="dxa"/>
        <w:tblLayout w:type="fixed"/>
        <w:tblLook w:val="06A0" w:firstRow="1" w:lastRow="0" w:firstColumn="1" w:lastColumn="0" w:noHBand="1" w:noVBand="1"/>
      </w:tblPr>
      <w:tblGrid>
        <w:gridCol w:w="5222"/>
        <w:gridCol w:w="1358"/>
        <w:gridCol w:w="3211"/>
      </w:tblGrid>
      <w:tr w:rsidR="00947625" w:rsidRPr="00AA7E7E" w14:paraId="1A2A63B6" w14:textId="77777777" w:rsidTr="00947625">
        <w:trPr>
          <w:trHeight w:val="1010"/>
        </w:trPr>
        <w:tc>
          <w:tcPr>
            <w:tcW w:w="9791" w:type="dxa"/>
            <w:gridSpan w:val="3"/>
            <w:tcBorders>
              <w:top w:val="nil"/>
              <w:left w:val="nil"/>
              <w:bottom w:val="nil"/>
              <w:right w:val="nil"/>
            </w:tcBorders>
            <w:shd w:val="clear" w:color="auto" w:fill="0C746A"/>
          </w:tcPr>
          <w:p w14:paraId="70568023" w14:textId="77777777" w:rsidR="009728F3" w:rsidRDefault="009728F3" w:rsidP="00947625">
            <w:pPr>
              <w:spacing w:line="300" w:lineRule="atLeast"/>
              <w:jc w:val="center"/>
              <w:rPr>
                <w:rFonts w:ascii="Arial" w:eastAsia="Times New Roman" w:hAnsi="Arial" w:cs="Arial"/>
                <w:color w:val="F2F2F2"/>
                <w:sz w:val="28"/>
                <w:szCs w:val="28"/>
                <w:bdr w:val="none" w:sz="0" w:space="0" w:color="auto" w:frame="1"/>
                <w:lang w:eastAsia="en-GB"/>
              </w:rPr>
            </w:pPr>
          </w:p>
          <w:p w14:paraId="393E3097" w14:textId="73A3DCB2" w:rsidR="00947625" w:rsidRDefault="00947625" w:rsidP="00947625">
            <w:pPr>
              <w:spacing w:line="300" w:lineRule="atLeast"/>
              <w:jc w:val="center"/>
              <w:rPr>
                <w:rFonts w:ascii="Arial" w:eastAsia="Times New Roman" w:hAnsi="Arial" w:cs="Arial"/>
                <w:color w:val="F2F2F2"/>
                <w:sz w:val="28"/>
                <w:szCs w:val="28"/>
                <w:bdr w:val="none" w:sz="0" w:space="0" w:color="auto" w:frame="1"/>
                <w:lang w:eastAsia="en-GB"/>
              </w:rPr>
            </w:pPr>
            <w:r>
              <w:rPr>
                <w:rFonts w:ascii="Arial" w:eastAsia="Times New Roman" w:hAnsi="Arial" w:cs="Arial"/>
                <w:color w:val="F2F2F2"/>
                <w:sz w:val="28"/>
                <w:szCs w:val="28"/>
                <w:bdr w:val="none" w:sz="0" w:space="0" w:color="auto" w:frame="1"/>
                <w:lang w:eastAsia="en-GB"/>
              </w:rPr>
              <w:t>WOLFSON INSTITUTE OF POPULATION HEALTH</w:t>
            </w:r>
          </w:p>
          <w:p w14:paraId="21DADCC3" w14:textId="77777777" w:rsidR="00947625" w:rsidRDefault="00947625" w:rsidP="00947625">
            <w:pPr>
              <w:spacing w:line="300" w:lineRule="atLeast"/>
              <w:jc w:val="center"/>
              <w:rPr>
                <w:rFonts w:ascii="Arial" w:eastAsia="Times New Roman" w:hAnsi="Arial" w:cs="Arial"/>
                <w:color w:val="F2F2F2"/>
                <w:sz w:val="28"/>
                <w:szCs w:val="28"/>
                <w:bdr w:val="none" w:sz="0" w:space="0" w:color="auto" w:frame="1"/>
                <w:lang w:eastAsia="en-GB"/>
              </w:rPr>
            </w:pPr>
            <w:r>
              <w:rPr>
                <w:rFonts w:ascii="Arial" w:eastAsia="Times New Roman" w:hAnsi="Arial" w:cs="Arial"/>
                <w:color w:val="F2F2F2"/>
                <w:sz w:val="28"/>
                <w:szCs w:val="28"/>
                <w:bdr w:val="none" w:sz="0" w:space="0" w:color="auto" w:frame="1"/>
                <w:lang w:eastAsia="en-GB"/>
              </w:rPr>
              <w:t>NEWSLETTER</w:t>
            </w:r>
          </w:p>
          <w:p w14:paraId="358ED935" w14:textId="054547E3" w:rsidR="00947625" w:rsidRDefault="00947625" w:rsidP="00947625">
            <w:pPr>
              <w:pStyle w:val="NormalWeb"/>
              <w:spacing w:before="0" w:beforeAutospacing="0" w:after="0" w:afterAutospacing="0"/>
              <w:jc w:val="center"/>
              <w:rPr>
                <w:rFonts w:ascii="Arial" w:hAnsi="Arial" w:cs="Arial"/>
                <w:color w:val="F2F2F2"/>
                <w:sz w:val="28"/>
                <w:szCs w:val="28"/>
                <w:bdr w:val="none" w:sz="0" w:space="0" w:color="auto" w:frame="1"/>
              </w:rPr>
            </w:pPr>
            <w:r>
              <w:rPr>
                <w:rFonts w:ascii="Arial" w:hAnsi="Arial" w:cs="Arial"/>
                <w:color w:val="F2F2F2"/>
                <w:sz w:val="28"/>
                <w:szCs w:val="28"/>
                <w:bdr w:val="none" w:sz="0" w:space="0" w:color="auto" w:frame="1"/>
              </w:rPr>
              <w:t xml:space="preserve">ISSUE </w:t>
            </w:r>
            <w:r w:rsidR="004C721D">
              <w:rPr>
                <w:rFonts w:ascii="Arial" w:hAnsi="Arial" w:cs="Arial"/>
                <w:color w:val="F2F2F2"/>
                <w:sz w:val="28"/>
                <w:szCs w:val="28"/>
                <w:bdr w:val="none" w:sz="0" w:space="0" w:color="auto" w:frame="1"/>
              </w:rPr>
              <w:t>10</w:t>
            </w:r>
            <w:r>
              <w:rPr>
                <w:rFonts w:ascii="Arial" w:hAnsi="Arial" w:cs="Arial"/>
                <w:color w:val="F2F2F2"/>
                <w:sz w:val="28"/>
                <w:szCs w:val="28"/>
                <w:bdr w:val="none" w:sz="0" w:space="0" w:color="auto" w:frame="1"/>
              </w:rPr>
              <w:t xml:space="preserve">: </w:t>
            </w:r>
            <w:r w:rsidR="004C721D">
              <w:rPr>
                <w:rFonts w:ascii="Arial" w:hAnsi="Arial" w:cs="Arial"/>
                <w:color w:val="F2F2F2"/>
                <w:sz w:val="28"/>
                <w:szCs w:val="28"/>
                <w:bdr w:val="none" w:sz="0" w:space="0" w:color="auto" w:frame="1"/>
              </w:rPr>
              <w:t>28</w:t>
            </w:r>
            <w:r>
              <w:rPr>
                <w:rFonts w:ascii="Arial" w:hAnsi="Arial" w:cs="Arial"/>
                <w:color w:val="F2F2F2"/>
                <w:sz w:val="28"/>
                <w:szCs w:val="28"/>
                <w:bdr w:val="none" w:sz="0" w:space="0" w:color="auto" w:frame="1"/>
              </w:rPr>
              <w:t xml:space="preserve"> FEBRUARY 2022</w:t>
            </w:r>
          </w:p>
          <w:p w14:paraId="41EC1D3C" w14:textId="417EB913" w:rsidR="009728F3" w:rsidRPr="00AA7E7E" w:rsidRDefault="009728F3" w:rsidP="00947625">
            <w:pPr>
              <w:pStyle w:val="NormalWeb"/>
              <w:spacing w:before="0" w:beforeAutospacing="0" w:after="0" w:afterAutospacing="0"/>
              <w:jc w:val="center"/>
              <w:rPr>
                <w:rFonts w:ascii="Arial" w:hAnsi="Arial" w:cs="Arial"/>
                <w:b/>
                <w:bCs/>
              </w:rPr>
            </w:pPr>
          </w:p>
        </w:tc>
      </w:tr>
      <w:tr w:rsidR="00AB4F7A" w:rsidRPr="00AA7E7E" w14:paraId="1759EE7E" w14:textId="77777777" w:rsidTr="00CA526E">
        <w:trPr>
          <w:trHeight w:val="1010"/>
        </w:trPr>
        <w:tc>
          <w:tcPr>
            <w:tcW w:w="9791" w:type="dxa"/>
            <w:gridSpan w:val="3"/>
            <w:tcBorders>
              <w:top w:val="nil"/>
              <w:left w:val="nil"/>
              <w:bottom w:val="nil"/>
              <w:right w:val="nil"/>
            </w:tcBorders>
          </w:tcPr>
          <w:p w14:paraId="078758B8" w14:textId="77777777" w:rsidR="00947625" w:rsidRDefault="00947625" w:rsidP="00AB4F7A">
            <w:pPr>
              <w:pStyle w:val="NormalWeb"/>
              <w:spacing w:before="0" w:beforeAutospacing="0" w:after="0" w:afterAutospacing="0"/>
              <w:rPr>
                <w:rFonts w:ascii="Arial" w:hAnsi="Arial" w:cs="Arial"/>
                <w:b/>
                <w:bCs/>
              </w:rPr>
            </w:pPr>
          </w:p>
          <w:p w14:paraId="6BBEF215" w14:textId="0D6BD56F" w:rsidR="00AB4F7A" w:rsidRPr="00AA7E7E" w:rsidRDefault="00AB4F7A" w:rsidP="00AB4F7A">
            <w:pPr>
              <w:pStyle w:val="NormalWeb"/>
              <w:spacing w:before="0" w:beforeAutospacing="0" w:after="0" w:afterAutospacing="0"/>
              <w:rPr>
                <w:rFonts w:ascii="Arial" w:hAnsi="Arial" w:cs="Arial"/>
                <w:b/>
                <w:bCs/>
              </w:rPr>
            </w:pPr>
            <w:r w:rsidRPr="00AA7E7E">
              <w:rPr>
                <w:rFonts w:ascii="Arial" w:hAnsi="Arial" w:cs="Arial"/>
                <w:b/>
                <w:bCs/>
              </w:rPr>
              <w:t xml:space="preserve">In this issue of our Wolfson Institute of Population Health Newsletter, we celebrate the achievements and work of staff and students in the </w:t>
            </w:r>
            <w:r w:rsidR="004C721D">
              <w:rPr>
                <w:rFonts w:ascii="Arial" w:hAnsi="Arial" w:cs="Arial"/>
                <w:b/>
                <w:bCs/>
              </w:rPr>
              <w:t>second</w:t>
            </w:r>
            <w:r w:rsidRPr="00AA7E7E">
              <w:rPr>
                <w:rFonts w:ascii="Arial" w:hAnsi="Arial" w:cs="Arial"/>
                <w:b/>
                <w:bCs/>
              </w:rPr>
              <w:t xml:space="preserve"> half of February.</w:t>
            </w:r>
          </w:p>
        </w:tc>
      </w:tr>
      <w:tr w:rsidR="00C4525D" w:rsidRPr="00AA7E7E" w14:paraId="684AE1CF" w14:textId="77777777" w:rsidTr="00C4525D">
        <w:trPr>
          <w:trHeight w:val="1010"/>
        </w:trPr>
        <w:tc>
          <w:tcPr>
            <w:tcW w:w="9791" w:type="dxa"/>
            <w:gridSpan w:val="3"/>
            <w:tcBorders>
              <w:top w:val="nil"/>
              <w:left w:val="nil"/>
              <w:bottom w:val="nil"/>
              <w:right w:val="nil"/>
            </w:tcBorders>
            <w:shd w:val="clear" w:color="auto" w:fill="0C746A"/>
          </w:tcPr>
          <w:p w14:paraId="675A1CF7" w14:textId="77777777" w:rsidR="00C4525D" w:rsidRDefault="00C4525D" w:rsidP="00AB4F7A">
            <w:pPr>
              <w:spacing w:line="300" w:lineRule="atLeast"/>
              <w:jc w:val="left"/>
              <w:rPr>
                <w:rFonts w:ascii="Arial" w:eastAsia="Times New Roman" w:hAnsi="Arial" w:cs="Arial"/>
                <w:color w:val="F2F2F2"/>
                <w:sz w:val="28"/>
                <w:szCs w:val="28"/>
                <w:bdr w:val="none" w:sz="0" w:space="0" w:color="auto" w:frame="1"/>
                <w:lang w:eastAsia="en-GB"/>
              </w:rPr>
            </w:pPr>
          </w:p>
          <w:p w14:paraId="73ED0E4F" w14:textId="25A934C4" w:rsidR="00C4525D" w:rsidRPr="00CF0074" w:rsidRDefault="00C4525D" w:rsidP="00AB4F7A">
            <w:pPr>
              <w:spacing w:line="300" w:lineRule="atLeast"/>
              <w:jc w:val="left"/>
              <w:rPr>
                <w:rFonts w:ascii="Arial" w:eastAsia="Times New Roman" w:hAnsi="Arial" w:cs="Arial"/>
                <w:color w:val="0C746A"/>
                <w:sz w:val="28"/>
                <w:szCs w:val="28"/>
                <w:lang w:eastAsia="en-GB"/>
              </w:rPr>
            </w:pPr>
            <w:r>
              <w:rPr>
                <w:rFonts w:ascii="Arial" w:eastAsia="Times New Roman" w:hAnsi="Arial" w:cs="Arial"/>
                <w:color w:val="F2F2F2"/>
                <w:sz w:val="28"/>
                <w:szCs w:val="28"/>
                <w:bdr w:val="none" w:sz="0" w:space="0" w:color="auto" w:frame="1"/>
                <w:lang w:eastAsia="en-GB"/>
              </w:rPr>
              <w:t>FROM OUR DIRECTOR</w:t>
            </w:r>
          </w:p>
        </w:tc>
      </w:tr>
      <w:tr w:rsidR="00B372A8" w:rsidRPr="00AA7E7E" w14:paraId="412FD180" w14:textId="77777777" w:rsidTr="00F9524E">
        <w:trPr>
          <w:trHeight w:val="2346"/>
        </w:trPr>
        <w:tc>
          <w:tcPr>
            <w:tcW w:w="9791" w:type="dxa"/>
            <w:gridSpan w:val="3"/>
            <w:tcBorders>
              <w:top w:val="nil"/>
              <w:left w:val="nil"/>
              <w:bottom w:val="nil"/>
              <w:right w:val="nil"/>
            </w:tcBorders>
          </w:tcPr>
          <w:p w14:paraId="45476EB1" w14:textId="77777777" w:rsidR="00950B87" w:rsidRDefault="00950B87" w:rsidP="00950B87">
            <w:pPr>
              <w:shd w:val="clear" w:color="auto" w:fill="FFFFFF"/>
              <w:rPr>
                <w:rFonts w:ascii="Arial" w:eastAsia="Times New Roman" w:hAnsi="Arial" w:cs="Arial"/>
                <w:color w:val="454545"/>
                <w:sz w:val="24"/>
                <w:szCs w:val="24"/>
                <w:bdr w:val="none" w:sz="0" w:space="0" w:color="auto" w:frame="1"/>
                <w:lang w:eastAsia="en-GB"/>
              </w:rPr>
            </w:pPr>
          </w:p>
          <w:p w14:paraId="49620493" w14:textId="77777777" w:rsidR="000E4593" w:rsidRDefault="000E4593" w:rsidP="000E4593">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bdr w:val="none" w:sz="0" w:space="0" w:color="auto" w:frame="1"/>
                <w:lang w:eastAsia="en-GB"/>
              </w:rPr>
              <w:t>Dear All</w:t>
            </w:r>
          </w:p>
          <w:p w14:paraId="505654A4" w14:textId="77777777" w:rsidR="000E4593" w:rsidRDefault="000E4593" w:rsidP="000E4593">
            <w:pPr>
              <w:shd w:val="clear" w:color="auto" w:fill="FFFFFF"/>
              <w:rPr>
                <w:rFonts w:ascii="Arial" w:eastAsia="Times New Roman" w:hAnsi="Arial" w:cs="Arial"/>
                <w:color w:val="454545"/>
                <w:sz w:val="24"/>
                <w:szCs w:val="24"/>
                <w:lang w:eastAsia="en-GB"/>
              </w:rPr>
            </w:pPr>
          </w:p>
          <w:p w14:paraId="1AF9FE3C" w14:textId="77777777" w:rsidR="000E4593" w:rsidRDefault="000E4593" w:rsidP="000E4593">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bdr w:val="none" w:sz="0" w:space="0" w:color="auto" w:frame="1"/>
                <w:lang w:eastAsia="en-GB"/>
              </w:rPr>
              <w:t>There are signs of a gradual but steady improvement regarding our public health landscape, and last week the government set out the next phase of its COVID-19 response. I share with our staff and students a genuine desire to return to normality and encourage everyone to return to the workplace. But the pandemic is not over, and I ask that we all continue to behave responsibly and be mindful of others, including strongly encouraging anyone who has tested positive for COVID-19 to follow advice on self-isolation, and minimise their risk of transmission to others. As restrictions are dropped, vaccination remains one of the best methods of defence against the further spread of COVID-19, so please do continue to encourage uptake among friends and family.</w:t>
            </w:r>
          </w:p>
          <w:p w14:paraId="039AF16F" w14:textId="77777777" w:rsidR="000E4593" w:rsidRDefault="000E4593" w:rsidP="000E4593">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bdr w:val="none" w:sz="0" w:space="0" w:color="auto" w:frame="1"/>
                <w:lang w:eastAsia="en-GB"/>
              </w:rPr>
              <w:t> </w:t>
            </w:r>
          </w:p>
          <w:p w14:paraId="042CAE85" w14:textId="307F1DDF" w:rsidR="00B372A8" w:rsidRPr="00B372A8" w:rsidRDefault="000E4593" w:rsidP="000E4593">
            <w:pPr>
              <w:shd w:val="clear" w:color="auto" w:fill="FFFFFF"/>
              <w:rPr>
                <w:rFonts w:ascii="Arial" w:hAnsi="Arial" w:cs="Arial"/>
                <w:b/>
                <w:bCs/>
                <w:color w:val="0C746A"/>
              </w:rPr>
            </w:pPr>
            <w:r>
              <w:rPr>
                <w:rFonts w:ascii="Arial" w:eastAsia="Times New Roman" w:hAnsi="Arial" w:cs="Arial"/>
                <w:color w:val="454545"/>
                <w:sz w:val="24"/>
                <w:szCs w:val="24"/>
                <w:bdr w:val="none" w:sz="0" w:space="0" w:color="auto" w:frame="1"/>
                <w:lang w:eastAsia="en-GB"/>
              </w:rPr>
              <w:t xml:space="preserve">Several research groups have had fascinating publications over the last few weeks. I’d like to shine a spotlight on the work of the Research &amp; Action on Salt &amp; Obesity Unit (see below), who have done an amazing job over the last few years in moving from what was primarily </w:t>
            </w:r>
          </w:p>
        </w:tc>
      </w:tr>
      <w:tr w:rsidR="00AB4F7A" w:rsidRPr="00AA7E7E" w14:paraId="5299F09D" w14:textId="77777777" w:rsidTr="00CA526E">
        <w:trPr>
          <w:trHeight w:val="2346"/>
        </w:trPr>
        <w:tc>
          <w:tcPr>
            <w:tcW w:w="6580" w:type="dxa"/>
            <w:gridSpan w:val="2"/>
            <w:tcBorders>
              <w:top w:val="nil"/>
              <w:left w:val="nil"/>
              <w:bottom w:val="nil"/>
              <w:right w:val="nil"/>
            </w:tcBorders>
          </w:tcPr>
          <w:p w14:paraId="7E4EBD1D" w14:textId="4FAE5AA4" w:rsidR="000E4593" w:rsidRDefault="000E4593" w:rsidP="000E4593">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bdr w:val="none" w:sz="0" w:space="0" w:color="auto" w:frame="1"/>
                <w:lang w:eastAsia="en-GB"/>
              </w:rPr>
              <w:t>an action group, to a fully-fledged internationally recognised research team.</w:t>
            </w:r>
          </w:p>
          <w:p w14:paraId="2DB9FD9E" w14:textId="77777777" w:rsidR="000E4593" w:rsidRDefault="000E4593" w:rsidP="000E4593">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bdr w:val="none" w:sz="0" w:space="0" w:color="auto" w:frame="1"/>
                <w:lang w:eastAsia="en-GB"/>
              </w:rPr>
              <w:t> </w:t>
            </w:r>
          </w:p>
          <w:p w14:paraId="53436872" w14:textId="77777777" w:rsidR="000E4593" w:rsidRDefault="000E4593" w:rsidP="000E4593">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bdr w:val="none" w:sz="0" w:space="0" w:color="auto" w:frame="1"/>
                <w:lang w:eastAsia="en-GB"/>
              </w:rPr>
              <w:t>Finally, in continuing solidarity and support for our colleagues with family and friends in the Ukraine,</w:t>
            </w:r>
          </w:p>
          <w:p w14:paraId="1082A05D" w14:textId="77777777" w:rsidR="000E4593" w:rsidRDefault="000E4593" w:rsidP="003207C5">
            <w:pPr>
              <w:shd w:val="clear" w:color="auto" w:fill="FFFFFF"/>
              <w:rPr>
                <w:rFonts w:ascii="Arial" w:eastAsia="Times New Roman" w:hAnsi="Arial" w:cs="Arial"/>
                <w:color w:val="454545"/>
                <w:sz w:val="24"/>
                <w:szCs w:val="24"/>
                <w:bdr w:val="none" w:sz="0" w:space="0" w:color="auto" w:frame="1"/>
                <w:lang w:eastAsia="en-GB"/>
              </w:rPr>
            </w:pPr>
          </w:p>
          <w:p w14:paraId="319B301E" w14:textId="6569377D" w:rsidR="003207C5" w:rsidRDefault="003207C5" w:rsidP="003207C5">
            <w:pPr>
              <w:shd w:val="clear" w:color="auto" w:fill="FFFFFF"/>
              <w:rPr>
                <w:rFonts w:ascii="Arial" w:eastAsia="Times New Roman" w:hAnsi="Arial" w:cs="Arial"/>
                <w:color w:val="454545"/>
                <w:sz w:val="24"/>
                <w:szCs w:val="24"/>
                <w:bdr w:val="none" w:sz="0" w:space="0" w:color="auto" w:frame="1"/>
                <w:lang w:eastAsia="en-GB"/>
              </w:rPr>
            </w:pPr>
            <w:r>
              <w:rPr>
                <w:rFonts w:ascii="Arial" w:eastAsia="Times New Roman" w:hAnsi="Arial" w:cs="Arial"/>
                <w:color w:val="454545"/>
                <w:sz w:val="24"/>
                <w:szCs w:val="24"/>
                <w:bdr w:val="none" w:sz="0" w:space="0" w:color="auto" w:frame="1"/>
                <w:lang w:eastAsia="en-GB"/>
              </w:rPr>
              <w:t>Best wishes</w:t>
            </w:r>
          </w:p>
          <w:p w14:paraId="2991B482" w14:textId="77777777" w:rsidR="003207C5" w:rsidRDefault="003207C5" w:rsidP="003207C5">
            <w:pPr>
              <w:shd w:val="clear" w:color="auto" w:fill="FFFFFF"/>
              <w:rPr>
                <w:rFonts w:ascii="Arial" w:eastAsia="Times New Roman" w:hAnsi="Arial" w:cs="Arial"/>
                <w:color w:val="454545"/>
                <w:sz w:val="24"/>
                <w:szCs w:val="24"/>
                <w:bdr w:val="none" w:sz="0" w:space="0" w:color="auto" w:frame="1"/>
                <w:lang w:eastAsia="en-GB"/>
              </w:rPr>
            </w:pPr>
          </w:p>
          <w:p w14:paraId="55C6AF40" w14:textId="77777777" w:rsidR="003207C5" w:rsidRDefault="003207C5" w:rsidP="003207C5">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bdr w:val="none" w:sz="0" w:space="0" w:color="auto" w:frame="1"/>
                <w:lang w:eastAsia="en-GB"/>
              </w:rPr>
              <w:t>Fiona</w:t>
            </w:r>
          </w:p>
          <w:p w14:paraId="4A86F33C" w14:textId="38CF96BF" w:rsidR="00C458B4" w:rsidRPr="00B372A8" w:rsidRDefault="00C458B4" w:rsidP="00AB4F7A">
            <w:pPr>
              <w:shd w:val="clear" w:color="auto" w:fill="FFFFFF"/>
              <w:rPr>
                <w:rFonts w:ascii="Arial" w:hAnsi="Arial" w:cs="Arial"/>
                <w:bCs/>
                <w:color w:val="454545"/>
                <w:sz w:val="24"/>
                <w:szCs w:val="24"/>
              </w:rPr>
            </w:pPr>
          </w:p>
        </w:tc>
        <w:tc>
          <w:tcPr>
            <w:tcW w:w="3211" w:type="dxa"/>
            <w:tcBorders>
              <w:top w:val="nil"/>
              <w:left w:val="nil"/>
              <w:bottom w:val="nil"/>
              <w:right w:val="nil"/>
            </w:tcBorders>
          </w:tcPr>
          <w:p w14:paraId="485936F6" w14:textId="77777777" w:rsidR="00AB4F7A" w:rsidRDefault="00AB4F7A" w:rsidP="00AB4F7A">
            <w:pPr>
              <w:pStyle w:val="NormalWeb"/>
              <w:spacing w:before="0" w:beforeAutospacing="0" w:after="0" w:afterAutospacing="0"/>
              <w:rPr>
                <w:rFonts w:ascii="Arial" w:hAnsi="Arial" w:cs="Arial"/>
                <w:b/>
                <w:bCs/>
                <w:color w:val="0C746A"/>
              </w:rPr>
            </w:pPr>
            <w:r>
              <w:rPr>
                <w:rFonts w:ascii="Arial" w:hAnsi="Arial" w:cs="Arial"/>
                <w:b/>
                <w:bCs/>
                <w:color w:val="0C746A"/>
              </w:rPr>
              <w:t xml:space="preserve">    </w:t>
            </w:r>
            <w:r>
              <w:rPr>
                <w:noProof/>
              </w:rPr>
              <w:drawing>
                <wp:inline distT="0" distB="0" distL="0" distR="0" wp14:anchorId="47DA6ED0" wp14:editId="74C8FD4C">
                  <wp:extent cx="1533525" cy="1485900"/>
                  <wp:effectExtent l="0" t="0" r="9525" b="0"/>
                  <wp:docPr id="1" name="Picture 1" descr="A close-up of a person smiling&#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up of a person smil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533525" cy="1485900"/>
                          </a:xfrm>
                          <a:prstGeom prst="rect">
                            <a:avLst/>
                          </a:prstGeom>
                        </pic:spPr>
                      </pic:pic>
                    </a:graphicData>
                  </a:graphic>
                </wp:inline>
              </w:drawing>
            </w:r>
          </w:p>
          <w:p w14:paraId="5EF75C39" w14:textId="41F3FDB7" w:rsidR="00AB4F7A" w:rsidRPr="00295907" w:rsidRDefault="00AB4F7A" w:rsidP="00AB4F7A">
            <w:pPr>
              <w:pStyle w:val="NormalWeb"/>
              <w:spacing w:before="0" w:beforeAutospacing="0" w:after="0" w:afterAutospacing="0"/>
              <w:rPr>
                <w:rFonts w:ascii="Arial" w:hAnsi="Arial" w:cs="Arial"/>
                <w:b/>
                <w:bCs/>
                <w:color w:val="0C746A"/>
              </w:rPr>
            </w:pPr>
          </w:p>
        </w:tc>
      </w:tr>
      <w:tr w:rsidR="001E25A3" w:rsidRPr="00D071E5" w14:paraId="047AF8B7" w14:textId="77777777" w:rsidTr="001E25A3">
        <w:trPr>
          <w:trHeight w:val="454"/>
        </w:trPr>
        <w:tc>
          <w:tcPr>
            <w:tcW w:w="9791" w:type="dxa"/>
            <w:gridSpan w:val="3"/>
            <w:tcBorders>
              <w:top w:val="nil"/>
              <w:left w:val="nil"/>
              <w:bottom w:val="nil"/>
              <w:right w:val="nil"/>
            </w:tcBorders>
            <w:shd w:val="clear" w:color="auto" w:fill="0C746A"/>
          </w:tcPr>
          <w:p w14:paraId="24405F7A" w14:textId="77777777" w:rsidR="001E25A3" w:rsidRDefault="001E25A3" w:rsidP="00AB4F7A">
            <w:pPr>
              <w:spacing w:line="300" w:lineRule="atLeast"/>
              <w:jc w:val="left"/>
              <w:rPr>
                <w:rFonts w:ascii="Arial" w:eastAsia="Times New Roman" w:hAnsi="Arial" w:cs="Arial"/>
                <w:color w:val="F2F2F2"/>
                <w:sz w:val="28"/>
                <w:szCs w:val="28"/>
                <w:bdr w:val="none" w:sz="0" w:space="0" w:color="auto" w:frame="1"/>
                <w:lang w:eastAsia="en-GB"/>
              </w:rPr>
            </w:pPr>
          </w:p>
          <w:p w14:paraId="71FC48FC" w14:textId="77777777" w:rsidR="001E25A3" w:rsidRDefault="001E25A3" w:rsidP="00AB4F7A">
            <w:pPr>
              <w:spacing w:line="300" w:lineRule="atLeast"/>
              <w:jc w:val="left"/>
              <w:rPr>
                <w:rFonts w:ascii="Arial" w:eastAsia="Times New Roman" w:hAnsi="Arial" w:cs="Arial"/>
                <w:color w:val="F2F2F2"/>
                <w:sz w:val="28"/>
                <w:szCs w:val="28"/>
                <w:bdr w:val="none" w:sz="0" w:space="0" w:color="auto" w:frame="1"/>
                <w:lang w:eastAsia="en-GB"/>
              </w:rPr>
            </w:pPr>
            <w:r>
              <w:rPr>
                <w:rFonts w:ascii="Arial" w:eastAsia="Times New Roman" w:hAnsi="Arial" w:cs="Arial"/>
                <w:color w:val="F2F2F2"/>
                <w:sz w:val="28"/>
                <w:szCs w:val="28"/>
                <w:bdr w:val="none" w:sz="0" w:space="0" w:color="auto" w:frame="1"/>
                <w:lang w:eastAsia="en-GB"/>
              </w:rPr>
              <w:t xml:space="preserve">GENERAL INSTITUTE </w:t>
            </w:r>
            <w:r w:rsidRPr="00CF0074">
              <w:rPr>
                <w:rFonts w:ascii="Arial" w:eastAsia="Times New Roman" w:hAnsi="Arial" w:cs="Arial"/>
                <w:color w:val="F2F2F2"/>
                <w:sz w:val="28"/>
                <w:szCs w:val="28"/>
                <w:bdr w:val="none" w:sz="0" w:space="0" w:color="auto" w:frame="1"/>
                <w:lang w:eastAsia="en-GB"/>
              </w:rPr>
              <w:t>NEWS</w:t>
            </w:r>
          </w:p>
          <w:p w14:paraId="38ED58F8" w14:textId="549BA456" w:rsidR="001E25A3" w:rsidRDefault="001E25A3" w:rsidP="00AB4F7A">
            <w:pPr>
              <w:spacing w:line="300" w:lineRule="atLeast"/>
              <w:jc w:val="left"/>
              <w:rPr>
                <w:rFonts w:ascii="Arial" w:eastAsia="Times New Roman" w:hAnsi="Arial" w:cs="Arial"/>
                <w:color w:val="F2F2F2"/>
                <w:sz w:val="28"/>
                <w:szCs w:val="28"/>
                <w:bdr w:val="none" w:sz="0" w:space="0" w:color="auto" w:frame="1"/>
                <w:lang w:eastAsia="en-GB"/>
              </w:rPr>
            </w:pPr>
          </w:p>
        </w:tc>
      </w:tr>
      <w:tr w:rsidR="00AB4F7A" w:rsidRPr="00D071E5" w14:paraId="38153069" w14:textId="77777777" w:rsidTr="00CA526E">
        <w:trPr>
          <w:trHeight w:val="498"/>
        </w:trPr>
        <w:tc>
          <w:tcPr>
            <w:tcW w:w="9791" w:type="dxa"/>
            <w:gridSpan w:val="3"/>
            <w:tcBorders>
              <w:top w:val="nil"/>
              <w:left w:val="nil"/>
              <w:bottom w:val="nil"/>
              <w:right w:val="nil"/>
            </w:tcBorders>
          </w:tcPr>
          <w:p w14:paraId="02539E07" w14:textId="77777777" w:rsidR="007E2C86" w:rsidRPr="007E2C86" w:rsidRDefault="007E2C86" w:rsidP="007E2C86">
            <w:pPr>
              <w:jc w:val="left"/>
              <w:rPr>
                <w:rFonts w:ascii="Arial" w:hAnsi="Arial" w:cs="Arial"/>
                <w:b/>
                <w:bCs/>
                <w:color w:val="454545"/>
                <w:sz w:val="24"/>
                <w:szCs w:val="24"/>
              </w:rPr>
            </w:pPr>
            <w:r w:rsidRPr="007E2C86">
              <w:rPr>
                <w:rFonts w:ascii="Arial" w:eastAsia="Times New Roman" w:hAnsi="Arial" w:cs="Arial"/>
                <w:b/>
                <w:bCs/>
                <w:color w:val="0C746A"/>
                <w:sz w:val="24"/>
                <w:szCs w:val="24"/>
                <w:lang w:eastAsia="en-GB"/>
              </w:rPr>
              <w:t>Global availability of Parkinson’s Disease treatment</w:t>
            </w:r>
          </w:p>
          <w:p w14:paraId="5CE22E42" w14:textId="77777777" w:rsidR="007E2C86" w:rsidRPr="007E2C86" w:rsidRDefault="007E2C86" w:rsidP="007E2C86">
            <w:pPr>
              <w:jc w:val="left"/>
              <w:rPr>
                <w:rFonts w:ascii="Arial" w:eastAsia="Times New Roman" w:hAnsi="Arial" w:cs="Arial"/>
                <w:color w:val="454545"/>
                <w:sz w:val="24"/>
                <w:szCs w:val="24"/>
                <w:lang w:eastAsia="en-GB"/>
              </w:rPr>
            </w:pPr>
            <w:r w:rsidRPr="007E2C86">
              <w:rPr>
                <w:rFonts w:ascii="Arial" w:eastAsia="Times New Roman" w:hAnsi="Arial" w:cs="Arial"/>
                <w:color w:val="454545"/>
                <w:sz w:val="24"/>
                <w:szCs w:val="24"/>
                <w:lang w:eastAsia="en-GB"/>
              </w:rPr>
              <w:t>8 February (Alastair Noyce. Centre for Prevention, Detection and Diagnosis)</w:t>
            </w:r>
          </w:p>
          <w:p w14:paraId="1BEB9739" w14:textId="77777777" w:rsidR="00AB4F7A" w:rsidRPr="00277768" w:rsidRDefault="00AB4F7A" w:rsidP="00AB4F7A">
            <w:pPr>
              <w:jc w:val="left"/>
              <w:rPr>
                <w:rFonts w:ascii="Arial" w:hAnsi="Arial" w:cs="Arial"/>
                <w:color w:val="0C746A"/>
                <w:sz w:val="24"/>
                <w:szCs w:val="24"/>
              </w:rPr>
            </w:pPr>
          </w:p>
        </w:tc>
      </w:tr>
      <w:tr w:rsidR="00AB4F7A" w:rsidRPr="00D071E5" w14:paraId="07CD69E6" w14:textId="77777777" w:rsidTr="00CA526E">
        <w:trPr>
          <w:trHeight w:val="498"/>
        </w:trPr>
        <w:tc>
          <w:tcPr>
            <w:tcW w:w="5222" w:type="dxa"/>
            <w:tcBorders>
              <w:top w:val="nil"/>
              <w:left w:val="nil"/>
              <w:bottom w:val="nil"/>
              <w:right w:val="nil"/>
            </w:tcBorders>
          </w:tcPr>
          <w:p w14:paraId="532FE9A7" w14:textId="4E6A8FCE" w:rsidR="00AB4F7A" w:rsidRPr="00D071E5" w:rsidRDefault="007E2C86" w:rsidP="00AB4F7A">
            <w:pPr>
              <w:rPr>
                <w:rFonts w:ascii="Arial" w:hAnsi="Arial" w:cs="Arial"/>
                <w:color w:val="444444"/>
                <w:sz w:val="24"/>
                <w:szCs w:val="24"/>
                <w:shd w:val="clear" w:color="auto" w:fill="FFFFFF"/>
              </w:rPr>
            </w:pPr>
            <w:r w:rsidRPr="00FF5110">
              <w:rPr>
                <w:rFonts w:ascii="Arial" w:hAnsi="Arial" w:cs="Arial"/>
                <w:color w:val="454545"/>
                <w:sz w:val="24"/>
                <w:szCs w:val="24"/>
              </w:rPr>
              <w:lastRenderedPageBreak/>
              <w:t xml:space="preserve">The global burden of Parkinson’s Disease (PD) has more than doubled over the last three decades, to 6.1 million individuals in 2016. </w:t>
            </w:r>
            <w:r w:rsidRPr="00FF5110">
              <w:rPr>
                <w:rFonts w:ascii="Arial" w:eastAsia="Calibri" w:hAnsi="Arial" w:cs="Arial"/>
                <w:color w:val="454545"/>
                <w:sz w:val="24"/>
                <w:szCs w:val="24"/>
                <w:lang w:eastAsia="zh-CN"/>
              </w:rPr>
              <w:t xml:space="preserve">Treatment options to </w:t>
            </w:r>
            <w:r w:rsidRPr="00FF5110">
              <w:rPr>
                <w:rFonts w:ascii="Arial" w:eastAsia="Calibri" w:hAnsi="Arial" w:cs="Arial"/>
                <w:bCs/>
                <w:color w:val="454545"/>
                <w:sz w:val="24"/>
                <w:szCs w:val="24"/>
                <w:lang w:eastAsia="zh-CN"/>
              </w:rPr>
              <w:t xml:space="preserve">reduce symptoms and improve quality of life </w:t>
            </w:r>
            <w:r w:rsidRPr="00FF5110">
              <w:rPr>
                <w:rFonts w:ascii="Arial" w:eastAsia="Calibri" w:hAnsi="Arial" w:cs="Arial"/>
                <w:color w:val="454545"/>
                <w:sz w:val="24"/>
                <w:szCs w:val="24"/>
                <w:lang w:eastAsia="zh-CN"/>
              </w:rPr>
              <w:t>include drugs</w:t>
            </w:r>
            <w:r>
              <w:rPr>
                <w:rFonts w:ascii="Arial" w:eastAsia="Calibri" w:hAnsi="Arial" w:cs="Arial"/>
                <w:color w:val="454545"/>
                <w:sz w:val="24"/>
                <w:szCs w:val="24"/>
                <w:lang w:eastAsia="zh-CN"/>
              </w:rPr>
              <w:t>, and</w:t>
            </w:r>
            <w:r w:rsidRPr="00FF5110">
              <w:rPr>
                <w:rFonts w:ascii="Arial" w:eastAsia="Calibri" w:hAnsi="Arial" w:cs="Arial"/>
                <w:color w:val="454545"/>
                <w:sz w:val="24"/>
                <w:szCs w:val="24"/>
                <w:lang w:eastAsia="zh-CN"/>
              </w:rPr>
              <w:t xml:space="preserve"> device-aided</w:t>
            </w:r>
            <w:r>
              <w:rPr>
                <w:rFonts w:ascii="Arial" w:eastAsia="Calibri" w:hAnsi="Arial" w:cs="Arial"/>
                <w:color w:val="454545"/>
                <w:sz w:val="24"/>
                <w:szCs w:val="24"/>
                <w:lang w:eastAsia="zh-CN"/>
              </w:rPr>
              <w:t xml:space="preserve"> /</w:t>
            </w:r>
            <w:r w:rsidRPr="00FF5110">
              <w:rPr>
                <w:rFonts w:ascii="Arial" w:eastAsia="Calibri" w:hAnsi="Arial" w:cs="Arial"/>
                <w:color w:val="454545"/>
                <w:sz w:val="24"/>
                <w:szCs w:val="24"/>
                <w:lang w:eastAsia="zh-CN"/>
              </w:rPr>
              <w:t xml:space="preserve"> non-pharmacological therapies. A </w:t>
            </w:r>
            <w:hyperlink r:id="rId9" w:history="1">
              <w:r w:rsidRPr="00FF5110">
                <w:rPr>
                  <w:rStyle w:val="Hyperlink"/>
                  <w:rFonts w:ascii="Arial" w:eastAsia="Calibri" w:hAnsi="Arial" w:cs="Arial"/>
                  <w:color w:val="454545"/>
                  <w:sz w:val="24"/>
                  <w:szCs w:val="24"/>
                  <w:lang w:eastAsia="zh-CN"/>
                </w:rPr>
                <w:t>survey</w:t>
              </w:r>
            </w:hyperlink>
            <w:r w:rsidRPr="00FF5110">
              <w:rPr>
                <w:rFonts w:ascii="Arial" w:eastAsia="Calibri" w:hAnsi="Arial" w:cs="Arial"/>
                <w:color w:val="454545"/>
                <w:sz w:val="24"/>
                <w:szCs w:val="24"/>
                <w:lang w:eastAsia="zh-CN"/>
              </w:rPr>
              <w:t xml:space="preserve"> of the International Parkinson and Movement Disorders Society has shown significant discrepancies in </w:t>
            </w:r>
            <w:r w:rsidRPr="00AC12A9">
              <w:rPr>
                <w:rFonts w:ascii="Arial" w:eastAsia="Calibri" w:hAnsi="Arial" w:cs="Arial"/>
                <w:color w:val="454545"/>
                <w:sz w:val="24"/>
                <w:szCs w:val="24"/>
                <w:lang w:eastAsia="zh-CN"/>
              </w:rPr>
              <w:t>availability</w:t>
            </w:r>
            <w:r w:rsidRPr="00FF5110">
              <w:rPr>
                <w:rFonts w:ascii="Arial" w:eastAsia="Calibri" w:hAnsi="Arial" w:cs="Arial"/>
                <w:color w:val="454545"/>
                <w:sz w:val="24"/>
                <w:szCs w:val="24"/>
                <w:lang w:eastAsia="zh-CN"/>
              </w:rPr>
              <w:t xml:space="preserve"> of PD treatments between countries and in relation to national income. Responses were received from 352 members </w:t>
            </w:r>
            <w:r>
              <w:rPr>
                <w:rFonts w:ascii="Arial" w:eastAsia="Calibri" w:hAnsi="Arial" w:cs="Arial"/>
                <w:color w:val="454545"/>
                <w:sz w:val="24"/>
                <w:szCs w:val="24"/>
                <w:lang w:eastAsia="zh-CN"/>
              </w:rPr>
              <w:t>in</w:t>
            </w:r>
            <w:r w:rsidRPr="00FF5110">
              <w:rPr>
                <w:rFonts w:ascii="Arial" w:eastAsia="Calibri" w:hAnsi="Arial" w:cs="Arial"/>
                <w:color w:val="454545"/>
                <w:sz w:val="24"/>
                <w:szCs w:val="24"/>
                <w:lang w:eastAsia="zh-CN"/>
              </w:rPr>
              <w:t xml:space="preserve"> 76 countries (28% of responses from low middle- and low income countries). The </w:t>
            </w:r>
            <w:r w:rsidRPr="003D7E2E">
              <w:rPr>
                <w:rFonts w:ascii="Arial" w:eastAsia="Calibri" w:hAnsi="Arial" w:cs="Arial"/>
                <w:color w:val="454545"/>
                <w:sz w:val="24"/>
                <w:szCs w:val="24"/>
                <w:lang w:eastAsia="zh-CN"/>
              </w:rPr>
              <w:t>drug</w:t>
            </w:r>
            <w:r w:rsidRPr="00FF5110">
              <w:rPr>
                <w:rFonts w:ascii="Arial" w:eastAsia="Calibri" w:hAnsi="Arial" w:cs="Arial"/>
                <w:color w:val="454545"/>
                <w:sz w:val="24"/>
                <w:szCs w:val="24"/>
                <w:lang w:eastAsia="zh-CN"/>
              </w:rPr>
              <w:t xml:space="preserve"> Levodopa was widely available across all income groups, but availability of other PD drugs and device-aided therapies decreased with national income. Occupational therapy and speech and language therapy were less available in low middle and low income countries. Corresponding author Alastair Noyce said: “</w:t>
            </w:r>
            <w:r w:rsidRPr="00FF5110">
              <w:rPr>
                <w:rFonts w:ascii="Arial" w:eastAsia="Calibri" w:hAnsi="Arial" w:cs="Arial"/>
                <w:i/>
                <w:iCs/>
                <w:color w:val="454545"/>
                <w:sz w:val="24"/>
                <w:szCs w:val="24"/>
                <w:lang w:eastAsia="zh-CN"/>
              </w:rPr>
              <w:t>These results are concerning, given the significant symptomatic benefit patients gain from treatment, and the fact that PD prevalence among low income countries has risen at a higher rate than that in high income countries. Improving equitable access to PD treatment should be prioritised</w:t>
            </w:r>
            <w:r w:rsidRPr="00FF5110">
              <w:rPr>
                <w:rFonts w:ascii="Arial" w:eastAsia="Calibri" w:hAnsi="Arial" w:cs="Arial"/>
                <w:color w:val="454545"/>
                <w:sz w:val="24"/>
                <w:szCs w:val="24"/>
                <w:lang w:eastAsia="zh-CN"/>
              </w:rPr>
              <w:t>.”</w:t>
            </w:r>
          </w:p>
        </w:tc>
        <w:tc>
          <w:tcPr>
            <w:tcW w:w="4569" w:type="dxa"/>
            <w:gridSpan w:val="2"/>
            <w:tcBorders>
              <w:top w:val="nil"/>
              <w:left w:val="nil"/>
              <w:bottom w:val="nil"/>
              <w:right w:val="nil"/>
            </w:tcBorders>
          </w:tcPr>
          <w:p w14:paraId="4DF5AC97" w14:textId="03474B56" w:rsidR="00AB4F7A" w:rsidRDefault="007E2C86" w:rsidP="00AB4F7A">
            <w:pPr>
              <w:jc w:val="left"/>
              <w:rPr>
                <w:rFonts w:ascii="Arial" w:hAnsi="Arial" w:cs="Arial"/>
                <w:b/>
                <w:bCs/>
                <w:color w:val="0C746A"/>
                <w:sz w:val="24"/>
                <w:szCs w:val="24"/>
              </w:rPr>
            </w:pPr>
            <w:r>
              <w:rPr>
                <w:rFonts w:ascii="Arial" w:hAnsi="Arial" w:cs="Arial"/>
                <w:noProof/>
                <w:sz w:val="24"/>
                <w:szCs w:val="24"/>
                <w:lang w:eastAsia="en-GB"/>
              </w:rPr>
              <w:drawing>
                <wp:inline distT="0" distB="0" distL="0" distR="0" wp14:anchorId="6121C3F5" wp14:editId="10F57AA6">
                  <wp:extent cx="2768970" cy="2329732"/>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rotWithShape="1">
                          <a:blip r:embed="rId10" cstate="print">
                            <a:extLst>
                              <a:ext uri="{28A0092B-C50C-407E-A947-70E740481C1C}">
                                <a14:useLocalDpi xmlns:a14="http://schemas.microsoft.com/office/drawing/2010/main" val="0"/>
                              </a:ext>
                            </a:extLst>
                          </a:blip>
                          <a:srcRect l="13410" t="1094" r="11141"/>
                          <a:stretch/>
                        </pic:blipFill>
                        <pic:spPr bwMode="auto">
                          <a:xfrm>
                            <a:off x="0" y="0"/>
                            <a:ext cx="2825115" cy="2376971"/>
                          </a:xfrm>
                          <a:prstGeom prst="rect">
                            <a:avLst/>
                          </a:prstGeom>
                          <a:ln>
                            <a:noFill/>
                          </a:ln>
                          <a:extLst>
                            <a:ext uri="{53640926-AAD7-44D8-BBD7-CCE9431645EC}">
                              <a14:shadowObscured xmlns:a14="http://schemas.microsoft.com/office/drawing/2010/main"/>
                            </a:ext>
                          </a:extLst>
                        </pic:spPr>
                      </pic:pic>
                    </a:graphicData>
                  </a:graphic>
                </wp:inline>
              </w:drawing>
            </w:r>
          </w:p>
          <w:p w14:paraId="21013256" w14:textId="77777777" w:rsidR="00E04A23" w:rsidRDefault="00E04A23" w:rsidP="00AB4F7A">
            <w:pPr>
              <w:jc w:val="left"/>
              <w:rPr>
                <w:rFonts w:ascii="Arial" w:hAnsi="Arial" w:cs="Arial"/>
                <w:b/>
                <w:bCs/>
                <w:color w:val="0C746A"/>
                <w:sz w:val="24"/>
                <w:szCs w:val="24"/>
              </w:rPr>
            </w:pPr>
          </w:p>
          <w:p w14:paraId="2E3412C2" w14:textId="346EFD89" w:rsidR="00AB4F7A" w:rsidRDefault="00AB4F7A" w:rsidP="00AB4F7A">
            <w:pPr>
              <w:jc w:val="left"/>
              <w:rPr>
                <w:rFonts w:ascii="Arial" w:hAnsi="Arial" w:cs="Arial"/>
                <w:b/>
                <w:bCs/>
                <w:color w:val="0C746A"/>
                <w:sz w:val="24"/>
                <w:szCs w:val="24"/>
              </w:rPr>
            </w:pPr>
            <w:r>
              <w:rPr>
                <w:rFonts w:ascii="Arial" w:hAnsi="Arial" w:cs="Arial"/>
                <w:b/>
                <w:bCs/>
                <w:color w:val="0C746A"/>
                <w:sz w:val="24"/>
                <w:szCs w:val="24"/>
              </w:rPr>
              <w:t xml:space="preserve">         </w:t>
            </w:r>
          </w:p>
          <w:p w14:paraId="1E002D0F" w14:textId="16FB2BE4" w:rsidR="00AB4F7A" w:rsidRPr="00AA7E7E" w:rsidRDefault="00E04A23" w:rsidP="00AB4F7A">
            <w:pPr>
              <w:jc w:val="left"/>
              <w:rPr>
                <w:rFonts w:ascii="Arial" w:hAnsi="Arial" w:cs="Arial"/>
                <w:b/>
                <w:bCs/>
                <w:color w:val="0C746A"/>
                <w:sz w:val="24"/>
                <w:szCs w:val="24"/>
              </w:rPr>
            </w:pPr>
            <w:r>
              <w:rPr>
                <w:noProof/>
                <w:lang w:eastAsia="en-GB"/>
              </w:rPr>
              <w:drawing>
                <wp:inline distT="0" distB="0" distL="0" distR="0" wp14:anchorId="3CCF7CA1" wp14:editId="308A5B6A">
                  <wp:extent cx="2733040" cy="1149373"/>
                  <wp:effectExtent l="0" t="0" r="0" b="0"/>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6013" cy="1167445"/>
                          </a:xfrm>
                          <a:prstGeom prst="rect">
                            <a:avLst/>
                          </a:prstGeom>
                          <a:noFill/>
                          <a:ln>
                            <a:noFill/>
                          </a:ln>
                        </pic:spPr>
                      </pic:pic>
                    </a:graphicData>
                  </a:graphic>
                </wp:inline>
              </w:drawing>
            </w:r>
          </w:p>
        </w:tc>
      </w:tr>
      <w:tr w:rsidR="00AB4F7A" w:rsidRPr="003738E7" w14:paraId="5F2A51ED" w14:textId="77777777" w:rsidTr="00CA526E">
        <w:trPr>
          <w:trHeight w:val="498"/>
        </w:trPr>
        <w:tc>
          <w:tcPr>
            <w:tcW w:w="9791" w:type="dxa"/>
            <w:gridSpan w:val="3"/>
            <w:tcBorders>
              <w:top w:val="nil"/>
              <w:left w:val="nil"/>
              <w:bottom w:val="nil"/>
              <w:right w:val="nil"/>
            </w:tcBorders>
          </w:tcPr>
          <w:p w14:paraId="0EF1CCAD" w14:textId="037992FF" w:rsidR="00AB4F7A" w:rsidRDefault="00AB4F7A" w:rsidP="00AB4F7A">
            <w:pPr>
              <w:jc w:val="left"/>
              <w:rPr>
                <w:rFonts w:ascii="Arial" w:hAnsi="Arial" w:cs="Arial"/>
                <w:b/>
                <w:bCs/>
                <w:color w:val="0C746A"/>
                <w:sz w:val="24"/>
                <w:szCs w:val="24"/>
              </w:rPr>
            </w:pPr>
          </w:p>
          <w:p w14:paraId="6B939C21" w14:textId="77777777" w:rsidR="00A402C4" w:rsidRPr="00A402C4" w:rsidRDefault="00A402C4" w:rsidP="00A402C4">
            <w:pPr>
              <w:shd w:val="clear" w:color="auto" w:fill="FFFFFF"/>
              <w:jc w:val="left"/>
              <w:textAlignment w:val="baseline"/>
              <w:rPr>
                <w:rFonts w:ascii="Arial" w:eastAsia="Times New Roman" w:hAnsi="Arial" w:cs="Arial"/>
                <w:b/>
                <w:bCs/>
                <w:color w:val="0C746A"/>
                <w:sz w:val="24"/>
                <w:szCs w:val="24"/>
                <w:bdr w:val="none" w:sz="0" w:space="0" w:color="auto" w:frame="1"/>
                <w:lang w:eastAsia="en-GB"/>
              </w:rPr>
            </w:pPr>
            <w:r w:rsidRPr="00A402C4">
              <w:rPr>
                <w:rFonts w:ascii="Arial" w:hAnsi="Arial" w:cs="Arial"/>
                <w:b/>
                <w:bCs/>
                <w:color w:val="0C746A"/>
                <w:sz w:val="24"/>
                <w:szCs w:val="24"/>
              </w:rPr>
              <w:t>Can children play a role in reducing families’ salt intake?</w:t>
            </w:r>
          </w:p>
          <w:p w14:paraId="18D98DA2" w14:textId="77777777" w:rsidR="00A402C4" w:rsidRPr="00A402C4" w:rsidRDefault="00A402C4" w:rsidP="00A402C4">
            <w:pPr>
              <w:shd w:val="clear" w:color="auto" w:fill="FFFFFF"/>
              <w:jc w:val="left"/>
              <w:textAlignment w:val="baseline"/>
              <w:rPr>
                <w:rFonts w:ascii="Arial" w:eastAsia="Times New Roman" w:hAnsi="Arial" w:cs="Arial"/>
                <w:color w:val="454545"/>
                <w:sz w:val="24"/>
                <w:szCs w:val="24"/>
                <w:bdr w:val="none" w:sz="0" w:space="0" w:color="auto" w:frame="1"/>
                <w:lang w:eastAsia="en-GB"/>
              </w:rPr>
            </w:pPr>
            <w:r w:rsidRPr="00A402C4">
              <w:rPr>
                <w:rFonts w:ascii="Arial" w:eastAsia="Times New Roman" w:hAnsi="Arial" w:cs="Arial"/>
                <w:color w:val="454545"/>
                <w:sz w:val="24"/>
                <w:szCs w:val="24"/>
                <w:bdr w:val="none" w:sz="0" w:space="0" w:color="auto" w:frame="1"/>
                <w:lang w:eastAsia="en-GB"/>
              </w:rPr>
              <w:t>14 February (Feng He, MacGregor GA. Centre for Public Health and Policy)</w:t>
            </w:r>
          </w:p>
          <w:p w14:paraId="769C2452" w14:textId="7376EFA7" w:rsidR="00AB4F7A" w:rsidRPr="00AA7E7E" w:rsidRDefault="00AB4F7A" w:rsidP="000A5EBB">
            <w:pPr>
              <w:jc w:val="left"/>
              <w:rPr>
                <w:rFonts w:ascii="Arial" w:eastAsia="Times New Roman" w:hAnsi="Arial" w:cs="Arial"/>
                <w:b/>
                <w:bCs/>
                <w:color w:val="0C746A"/>
                <w:sz w:val="24"/>
                <w:szCs w:val="24"/>
                <w:lang w:eastAsia="en-GB"/>
              </w:rPr>
            </w:pPr>
          </w:p>
        </w:tc>
      </w:tr>
      <w:tr w:rsidR="00AB4F7A" w:rsidRPr="00355AC6" w14:paraId="70D11CDA" w14:textId="77777777" w:rsidTr="00CA526E">
        <w:trPr>
          <w:trHeight w:val="498"/>
        </w:trPr>
        <w:tc>
          <w:tcPr>
            <w:tcW w:w="5222" w:type="dxa"/>
            <w:tcBorders>
              <w:top w:val="nil"/>
              <w:left w:val="nil"/>
              <w:bottom w:val="nil"/>
              <w:right w:val="nil"/>
            </w:tcBorders>
          </w:tcPr>
          <w:p w14:paraId="37833C65" w14:textId="7318FBB9" w:rsidR="00AB4F7A" w:rsidRDefault="00A402C4" w:rsidP="00AB4F7A">
            <w:pPr>
              <w:rPr>
                <w:rFonts w:ascii="Arial" w:hAnsi="Arial" w:cs="Arial"/>
                <w:color w:val="454545"/>
                <w:sz w:val="24"/>
                <w:szCs w:val="24"/>
              </w:rPr>
            </w:pPr>
            <w:r>
              <w:rPr>
                <w:rFonts w:ascii="Arial" w:hAnsi="Arial" w:cs="Arial"/>
                <w:noProof/>
                <w:color w:val="000000"/>
                <w:sz w:val="17"/>
                <w:szCs w:val="17"/>
                <w:bdr w:val="none" w:sz="0" w:space="0" w:color="auto" w:frame="1"/>
                <w:lang w:eastAsia="en-GB"/>
              </w:rPr>
              <w:drawing>
                <wp:inline distT="0" distB="0" distL="0" distR="0" wp14:anchorId="207DEB69" wp14:editId="624128C7">
                  <wp:extent cx="3209598" cy="27113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l="24167"/>
                          <a:stretch/>
                        </pic:blipFill>
                        <pic:spPr bwMode="auto">
                          <a:xfrm flipH="1">
                            <a:off x="0" y="0"/>
                            <a:ext cx="3291938" cy="2780953"/>
                          </a:xfrm>
                          <a:prstGeom prst="rect">
                            <a:avLst/>
                          </a:prstGeom>
                          <a:ln>
                            <a:noFill/>
                          </a:ln>
                          <a:extLst>
                            <a:ext uri="{53640926-AAD7-44D8-BBD7-CCE9431645EC}">
                              <a14:shadowObscured xmlns:a14="http://schemas.microsoft.com/office/drawing/2010/main"/>
                            </a:ext>
                          </a:extLst>
                        </pic:spPr>
                      </pic:pic>
                    </a:graphicData>
                  </a:graphic>
                </wp:inline>
              </w:drawing>
            </w:r>
          </w:p>
          <w:p w14:paraId="59D5F485" w14:textId="77777777" w:rsidR="00AB4F7A" w:rsidRDefault="00AB4F7A" w:rsidP="00AB4F7A">
            <w:pPr>
              <w:rPr>
                <w:rFonts w:ascii="Arial" w:hAnsi="Arial" w:cs="Arial"/>
                <w:color w:val="454545"/>
                <w:sz w:val="24"/>
                <w:szCs w:val="24"/>
              </w:rPr>
            </w:pPr>
          </w:p>
          <w:p w14:paraId="08448E5C" w14:textId="3419E319" w:rsidR="00AB4F7A" w:rsidRPr="00AA7E7E" w:rsidRDefault="00A402C4" w:rsidP="00AB4F7A">
            <w:pPr>
              <w:rPr>
                <w:rFonts w:ascii="Arial" w:hAnsi="Arial" w:cs="Arial"/>
                <w:color w:val="454545"/>
                <w:sz w:val="24"/>
                <w:szCs w:val="24"/>
              </w:rPr>
            </w:pPr>
            <w:r>
              <w:rPr>
                <w:noProof/>
                <w:lang w:eastAsia="en-GB"/>
              </w:rPr>
              <w:lastRenderedPageBreak/>
              <w:drawing>
                <wp:inline distT="0" distB="0" distL="0" distR="0" wp14:anchorId="602A0B6C" wp14:editId="4B1C0ED4">
                  <wp:extent cx="3203039" cy="1152939"/>
                  <wp:effectExtent l="0" t="0" r="0" b="9525"/>
                  <wp:docPr id="5" name="Picture 5" descr="The BM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MJ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8477" cy="1158496"/>
                          </a:xfrm>
                          <a:prstGeom prst="rect">
                            <a:avLst/>
                          </a:prstGeom>
                          <a:noFill/>
                          <a:ln>
                            <a:noFill/>
                          </a:ln>
                        </pic:spPr>
                      </pic:pic>
                    </a:graphicData>
                  </a:graphic>
                </wp:inline>
              </w:drawing>
            </w:r>
          </w:p>
        </w:tc>
        <w:tc>
          <w:tcPr>
            <w:tcW w:w="4569" w:type="dxa"/>
            <w:gridSpan w:val="2"/>
            <w:tcBorders>
              <w:top w:val="nil"/>
              <w:left w:val="nil"/>
              <w:bottom w:val="nil"/>
              <w:right w:val="nil"/>
            </w:tcBorders>
          </w:tcPr>
          <w:p w14:paraId="266DDCC0" w14:textId="7E80F3E7" w:rsidR="00A402C4" w:rsidRPr="00A402C4" w:rsidRDefault="00A402C4" w:rsidP="00A402C4">
            <w:pPr>
              <w:shd w:val="clear" w:color="auto" w:fill="FFFFFF"/>
              <w:textAlignment w:val="baseline"/>
              <w:rPr>
                <w:rFonts w:ascii="Arial" w:eastAsia="Times New Roman" w:hAnsi="Arial" w:cs="Arial"/>
                <w:color w:val="454545"/>
                <w:sz w:val="24"/>
                <w:szCs w:val="24"/>
                <w:lang w:eastAsia="en-GB"/>
              </w:rPr>
            </w:pPr>
            <w:r w:rsidRPr="00A402C4">
              <w:rPr>
                <w:rFonts w:ascii="Arial" w:eastAsia="Times New Roman" w:hAnsi="Arial" w:cs="Arial"/>
                <w:color w:val="454545"/>
                <w:sz w:val="24"/>
                <w:szCs w:val="24"/>
                <w:lang w:eastAsia="en-GB"/>
              </w:rPr>
              <w:lastRenderedPageBreak/>
              <w:t xml:space="preserve">In an invited </w:t>
            </w:r>
            <w:r w:rsidRPr="00A402C4">
              <w:rPr>
                <w:rFonts w:ascii="Arial" w:eastAsia="Times New Roman" w:hAnsi="Arial" w:cs="Arial"/>
                <w:i/>
                <w:iCs/>
                <w:color w:val="454545"/>
                <w:sz w:val="24"/>
                <w:szCs w:val="24"/>
                <w:lang w:eastAsia="en-GB"/>
              </w:rPr>
              <w:t>BMJ</w:t>
            </w:r>
            <w:r w:rsidRPr="00A402C4">
              <w:rPr>
                <w:rFonts w:ascii="Arial" w:eastAsia="Times New Roman" w:hAnsi="Arial" w:cs="Arial"/>
                <w:color w:val="454545"/>
                <w:sz w:val="24"/>
                <w:szCs w:val="24"/>
                <w:lang w:eastAsia="en-GB"/>
              </w:rPr>
              <w:t xml:space="preserve"> opinion </w:t>
            </w:r>
            <w:hyperlink r:id="rId14" w:tgtFrame="_blank" w:history="1">
              <w:r w:rsidRPr="00A402C4">
                <w:rPr>
                  <w:rFonts w:ascii="Arial" w:eastAsia="Times New Roman" w:hAnsi="Arial" w:cs="Arial"/>
                  <w:color w:val="454545"/>
                  <w:sz w:val="24"/>
                  <w:szCs w:val="24"/>
                  <w:u w:val="single"/>
                  <w:bdr w:val="none" w:sz="0" w:space="0" w:color="auto" w:frame="1"/>
                  <w:lang w:eastAsia="en-GB"/>
                </w:rPr>
                <w:t>piece</w:t>
              </w:r>
            </w:hyperlink>
            <w:r w:rsidRPr="00A402C4">
              <w:rPr>
                <w:rFonts w:ascii="Arial" w:eastAsia="Times New Roman" w:hAnsi="Arial" w:cs="Arial"/>
                <w:color w:val="454545"/>
                <w:sz w:val="24"/>
                <w:szCs w:val="24"/>
                <w:lang w:eastAsia="en-GB"/>
              </w:rPr>
              <w:t xml:space="preserve">, authors from the Research &amp; Action on Salt &amp; Obesity unit reflect on lessons learned from their recently published research on an app-based education programme for primary school children to reduce family salt intake in China. In many developed countries processed foods are responsible for 70-80% of salt intake, but successful population intake reduction has been possible by lowering processed food salt targets. This policy is not generalizable to developing countries, such as China, where 80% of salt is added during home cooking, and average intake per person is over twice the WHO recommended maximum. In this piece the authors reflect on how they refined </w:t>
            </w:r>
            <w:r w:rsidRPr="00A402C4">
              <w:rPr>
                <w:rFonts w:ascii="Arial" w:eastAsia="Times New Roman" w:hAnsi="Arial" w:cs="Arial"/>
                <w:color w:val="454545"/>
                <w:sz w:val="24"/>
                <w:szCs w:val="24"/>
                <w:lang w:eastAsia="en-GB"/>
              </w:rPr>
              <w:lastRenderedPageBreak/>
              <w:t>their approach to achieving salt reduction through primary education, and the obstacles they overcame in this process (eg: children living with  grandparents who did not have a smartphone). They conclude that this intervention could be scaled up across China, and adapted by other countries in settings where most dietary salt is added in home cooking.</w:t>
            </w:r>
          </w:p>
          <w:p w14:paraId="5FBA685F" w14:textId="77777777" w:rsidR="00A402C4" w:rsidRPr="00A402C4" w:rsidRDefault="00A402C4" w:rsidP="00A402C4">
            <w:pPr>
              <w:shd w:val="clear" w:color="auto" w:fill="FFFFFF"/>
              <w:jc w:val="left"/>
              <w:rPr>
                <w:rFonts w:ascii="Arial" w:eastAsia="Times New Roman" w:hAnsi="Arial" w:cs="Arial"/>
                <w:color w:val="454545"/>
                <w:sz w:val="24"/>
                <w:szCs w:val="24"/>
                <w:lang w:eastAsia="en-GB"/>
              </w:rPr>
            </w:pPr>
          </w:p>
          <w:p w14:paraId="49161FDC" w14:textId="77777777" w:rsidR="00AB4F7A" w:rsidRPr="00851D0D" w:rsidRDefault="00AB4F7A" w:rsidP="000A5EBB">
            <w:pPr>
              <w:rPr>
                <w:rFonts w:ascii="Arial" w:hAnsi="Arial" w:cs="Arial"/>
                <w:noProof/>
                <w:color w:val="201F1E"/>
                <w:sz w:val="24"/>
                <w:szCs w:val="24"/>
              </w:rPr>
            </w:pPr>
          </w:p>
        </w:tc>
      </w:tr>
      <w:tr w:rsidR="00AB4F7A" w:rsidRPr="00355AC6" w14:paraId="5372DA59" w14:textId="77777777" w:rsidTr="00CA526E">
        <w:trPr>
          <w:trHeight w:val="498"/>
        </w:trPr>
        <w:tc>
          <w:tcPr>
            <w:tcW w:w="9791" w:type="dxa"/>
            <w:gridSpan w:val="3"/>
            <w:tcBorders>
              <w:top w:val="nil"/>
              <w:left w:val="nil"/>
              <w:bottom w:val="nil"/>
              <w:right w:val="nil"/>
            </w:tcBorders>
          </w:tcPr>
          <w:p w14:paraId="07D7B3A6" w14:textId="77777777" w:rsidR="00C020A2" w:rsidRPr="00C020A2" w:rsidRDefault="00C020A2" w:rsidP="00C020A2">
            <w:pPr>
              <w:shd w:val="clear" w:color="auto" w:fill="FFFFFF"/>
              <w:jc w:val="left"/>
              <w:textAlignment w:val="baseline"/>
              <w:rPr>
                <w:rFonts w:ascii="Arial" w:eastAsia="Times New Roman" w:hAnsi="Arial" w:cs="Arial"/>
                <w:b/>
                <w:bCs/>
                <w:color w:val="0C746A"/>
                <w:sz w:val="24"/>
                <w:szCs w:val="24"/>
                <w:bdr w:val="none" w:sz="0" w:space="0" w:color="auto" w:frame="1"/>
                <w:lang w:eastAsia="en-GB"/>
              </w:rPr>
            </w:pPr>
            <w:r w:rsidRPr="00C020A2">
              <w:rPr>
                <w:rFonts w:ascii="Arial" w:eastAsia="Times New Roman" w:hAnsi="Arial" w:cs="Arial"/>
                <w:b/>
                <w:bCs/>
                <w:color w:val="0C746A"/>
                <w:sz w:val="24"/>
                <w:szCs w:val="24"/>
                <w:bdr w:val="none" w:sz="0" w:space="0" w:color="auto" w:frame="1"/>
                <w:lang w:eastAsia="en-GB"/>
              </w:rPr>
              <w:lastRenderedPageBreak/>
              <w:t>Barts Charity Funding for interventions to tackle covid vaccine hesitancy in East London</w:t>
            </w:r>
          </w:p>
          <w:p w14:paraId="60C6BE42" w14:textId="77777777" w:rsidR="00AB4F7A" w:rsidRDefault="00C020A2" w:rsidP="00C020A2">
            <w:pPr>
              <w:jc w:val="left"/>
              <w:rPr>
                <w:rFonts w:ascii="Arial" w:eastAsia="Times New Roman" w:hAnsi="Arial" w:cs="Arial"/>
                <w:color w:val="454545"/>
                <w:sz w:val="24"/>
                <w:szCs w:val="24"/>
                <w:bdr w:val="none" w:sz="0" w:space="0" w:color="auto" w:frame="1"/>
                <w:lang w:eastAsia="en-GB"/>
              </w:rPr>
            </w:pPr>
            <w:r w:rsidRPr="00C020A2">
              <w:rPr>
                <w:rFonts w:ascii="Arial" w:eastAsia="Times New Roman" w:hAnsi="Arial" w:cs="Arial"/>
                <w:color w:val="454545"/>
                <w:sz w:val="24"/>
                <w:szCs w:val="24"/>
                <w:bdr w:val="none" w:sz="0" w:space="0" w:color="auto" w:frame="1"/>
                <w:lang w:eastAsia="en-GB"/>
              </w:rPr>
              <w:t>14 February (Dominik Zenner, Chris Griffiths, Adam Brentnall. Centres for Public Health and Policy/Primary Care /Evaluation and Methods)</w:t>
            </w:r>
          </w:p>
          <w:p w14:paraId="0DDF880C" w14:textId="027BC1CE" w:rsidR="00C020A2" w:rsidRPr="00AA7E7E" w:rsidRDefault="00C020A2" w:rsidP="00C020A2">
            <w:pPr>
              <w:jc w:val="left"/>
              <w:rPr>
                <w:rFonts w:ascii="Arial" w:hAnsi="Arial" w:cs="Arial"/>
                <w:b/>
                <w:bCs/>
                <w:noProof/>
                <w:color w:val="201F1E"/>
                <w:sz w:val="24"/>
                <w:szCs w:val="24"/>
              </w:rPr>
            </w:pPr>
          </w:p>
        </w:tc>
      </w:tr>
      <w:tr w:rsidR="00AB4F7A" w:rsidRPr="00C6033A" w14:paraId="21C254D1" w14:textId="77777777" w:rsidTr="00CA526E">
        <w:trPr>
          <w:trHeight w:val="498"/>
        </w:trPr>
        <w:tc>
          <w:tcPr>
            <w:tcW w:w="5222" w:type="dxa"/>
            <w:tcBorders>
              <w:top w:val="nil"/>
              <w:left w:val="nil"/>
              <w:bottom w:val="nil"/>
              <w:right w:val="nil"/>
            </w:tcBorders>
          </w:tcPr>
          <w:p w14:paraId="038E99F2" w14:textId="43A88D39" w:rsidR="00AB4F7A" w:rsidRDefault="00EA5B2C" w:rsidP="000A5EBB">
            <w:pPr>
              <w:rPr>
                <w:rFonts w:ascii="Arial" w:eastAsia="Times New Roman" w:hAnsi="Arial" w:cs="Arial"/>
                <w:color w:val="454545"/>
                <w:sz w:val="24"/>
                <w:szCs w:val="24"/>
                <w:lang w:eastAsia="en-GB"/>
              </w:rPr>
            </w:pPr>
            <w:r w:rsidRPr="00C804A9">
              <w:rPr>
                <w:rFonts w:ascii="Arial" w:eastAsia="Times New Roman" w:hAnsi="Arial" w:cs="Arial"/>
                <w:color w:val="454545"/>
                <w:sz w:val="24"/>
                <w:szCs w:val="24"/>
                <w:bdr w:val="none" w:sz="0" w:space="0" w:color="auto" w:frame="1"/>
                <w:lang w:eastAsia="en-GB"/>
              </w:rPr>
              <w:t xml:space="preserve">A Barts Charity Large Project Grant of £325k has been awarded to WIPH researchers to develop and evaluate community-based interventions to tackle covid vaccine hesitancy in East London. Through interviews and focus groups with members of migrant and ethnic minority communities, a cross-centre WIPH team will undertake a qualitative study exploring beliefs regarding COVID-19, social and cultural concepts, perceptions, and attitudes regarding vaccines. Participatory workshops will enable the team to examine the viability of culturally adapted educational support, considering content, design, and mode and timing of message delivery, and to create a public engagement tool. A randomised pilot study will evaluate the feasibility and implementation aspects of a subsequent larger trial if the public engagement tool increases COVID-19 uptake in the target population.  </w:t>
            </w:r>
            <w:r w:rsidRPr="00C804A9">
              <w:rPr>
                <w:rFonts w:ascii="Arial" w:eastAsia="Times New Roman" w:hAnsi="Arial" w:cs="Arial"/>
                <w:color w:val="454545"/>
                <w:sz w:val="24"/>
                <w:szCs w:val="24"/>
                <w:lang w:eastAsia="en-GB"/>
              </w:rPr>
              <w:t>PI Dominik Zenner said: “</w:t>
            </w:r>
            <w:r w:rsidRPr="00C804A9">
              <w:rPr>
                <w:rFonts w:ascii="Arial" w:eastAsia="Times New Roman" w:hAnsi="Arial" w:cs="Arial"/>
                <w:i/>
                <w:iCs/>
                <w:color w:val="454545"/>
                <w:sz w:val="24"/>
                <w:szCs w:val="24"/>
                <w:lang w:eastAsia="en-GB"/>
              </w:rPr>
              <w:t>This exciting research explores ideas and views from our local population on what does and doesn't work to co-design interventions to promote vaccine uptake among those people who need it most</w:t>
            </w:r>
            <w:r w:rsidRPr="00C804A9">
              <w:rPr>
                <w:rFonts w:ascii="Arial" w:eastAsia="Times New Roman" w:hAnsi="Arial" w:cs="Arial"/>
                <w:color w:val="454545"/>
                <w:sz w:val="24"/>
                <w:szCs w:val="24"/>
                <w:lang w:eastAsia="en-GB"/>
              </w:rPr>
              <w:t>.”</w:t>
            </w:r>
          </w:p>
          <w:p w14:paraId="165B3048" w14:textId="36CD7858" w:rsidR="00EA5B2C" w:rsidRPr="00AA7E7E" w:rsidRDefault="00EA5B2C" w:rsidP="000A5EBB">
            <w:pPr>
              <w:rPr>
                <w:rFonts w:ascii="Arial" w:hAnsi="Arial" w:cs="Arial"/>
                <w:color w:val="454545"/>
                <w:sz w:val="24"/>
                <w:szCs w:val="24"/>
              </w:rPr>
            </w:pPr>
          </w:p>
        </w:tc>
        <w:tc>
          <w:tcPr>
            <w:tcW w:w="4569" w:type="dxa"/>
            <w:gridSpan w:val="2"/>
            <w:tcBorders>
              <w:top w:val="nil"/>
              <w:left w:val="nil"/>
              <w:bottom w:val="nil"/>
              <w:right w:val="nil"/>
            </w:tcBorders>
          </w:tcPr>
          <w:p w14:paraId="4B6EA27D" w14:textId="77777777" w:rsidR="00EA5B2C" w:rsidRDefault="00EA5B2C" w:rsidP="00AB4F7A">
            <w:pPr>
              <w:rPr>
                <w:rFonts w:ascii="Arial" w:hAnsi="Arial" w:cs="Arial"/>
                <w:b/>
                <w:bCs/>
                <w:noProof/>
                <w:color w:val="201F1E"/>
                <w:sz w:val="24"/>
                <w:szCs w:val="24"/>
              </w:rPr>
            </w:pPr>
          </w:p>
          <w:p w14:paraId="6A04DB48" w14:textId="6E0ACE23" w:rsidR="00EA5B2C" w:rsidRDefault="00836FA0" w:rsidP="00AB4F7A">
            <w:pPr>
              <w:rPr>
                <w:rFonts w:ascii="Arial" w:hAnsi="Arial" w:cs="Arial"/>
                <w:b/>
                <w:bCs/>
                <w:noProof/>
                <w:color w:val="201F1E"/>
                <w:sz w:val="24"/>
                <w:szCs w:val="24"/>
              </w:rPr>
            </w:pPr>
            <w:r>
              <w:rPr>
                <w:noProof/>
                <w:lang w:eastAsia="en-GB"/>
              </w:rPr>
              <w:drawing>
                <wp:inline distT="0" distB="0" distL="0" distR="0" wp14:anchorId="4DB87202" wp14:editId="6B6A74AC">
                  <wp:extent cx="2785745" cy="1218256"/>
                  <wp:effectExtent l="0" t="0" r="0" b="1270"/>
                  <wp:docPr id="17" name="Picture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8545" cy="1236973"/>
                          </a:xfrm>
                          <a:prstGeom prst="rect">
                            <a:avLst/>
                          </a:prstGeom>
                          <a:noFill/>
                          <a:ln>
                            <a:noFill/>
                          </a:ln>
                        </pic:spPr>
                      </pic:pic>
                    </a:graphicData>
                  </a:graphic>
                </wp:inline>
              </w:drawing>
            </w:r>
          </w:p>
          <w:p w14:paraId="2F930509" w14:textId="21293B19" w:rsidR="00836FA0" w:rsidRDefault="00836FA0" w:rsidP="00AB4F7A">
            <w:pPr>
              <w:rPr>
                <w:rFonts w:ascii="Arial" w:hAnsi="Arial" w:cs="Arial"/>
                <w:b/>
                <w:bCs/>
                <w:noProof/>
                <w:color w:val="201F1E"/>
                <w:sz w:val="24"/>
                <w:szCs w:val="24"/>
              </w:rPr>
            </w:pPr>
          </w:p>
          <w:p w14:paraId="45CCE587" w14:textId="77777777" w:rsidR="00836FA0" w:rsidRDefault="00836FA0" w:rsidP="00AB4F7A">
            <w:pPr>
              <w:rPr>
                <w:rFonts w:ascii="Arial" w:hAnsi="Arial" w:cs="Arial"/>
                <w:b/>
                <w:bCs/>
                <w:noProof/>
                <w:color w:val="201F1E"/>
                <w:sz w:val="24"/>
                <w:szCs w:val="24"/>
              </w:rPr>
            </w:pPr>
          </w:p>
          <w:p w14:paraId="4357FE44" w14:textId="108F7193" w:rsidR="00AB4F7A" w:rsidRPr="00AA7E7E" w:rsidRDefault="00EA5B2C" w:rsidP="00AB4F7A">
            <w:pPr>
              <w:rPr>
                <w:rFonts w:ascii="Arial" w:hAnsi="Arial" w:cs="Arial"/>
                <w:b/>
                <w:bCs/>
                <w:noProof/>
                <w:color w:val="201F1E"/>
                <w:sz w:val="24"/>
                <w:szCs w:val="24"/>
              </w:rPr>
            </w:pPr>
            <w:r w:rsidRPr="00A05E4D">
              <w:rPr>
                <w:rFonts w:ascii="Arial" w:hAnsi="Arial" w:cs="Arial"/>
                <w:noProof/>
                <w:sz w:val="24"/>
                <w:szCs w:val="24"/>
                <w:lang w:eastAsia="en-GB"/>
              </w:rPr>
              <w:drawing>
                <wp:inline distT="0" distB="0" distL="0" distR="0" wp14:anchorId="28AB441F" wp14:editId="14B17C2C">
                  <wp:extent cx="2785270" cy="1682151"/>
                  <wp:effectExtent l="0" t="0" r="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rotWithShape="1">
                          <a:blip r:embed="rId16"/>
                          <a:srcRect l="14528" t="19318" r="9948" b="23187"/>
                          <a:stretch/>
                        </pic:blipFill>
                        <pic:spPr bwMode="auto">
                          <a:xfrm>
                            <a:off x="0" y="0"/>
                            <a:ext cx="2845276" cy="1718392"/>
                          </a:xfrm>
                          <a:prstGeom prst="rect">
                            <a:avLst/>
                          </a:prstGeom>
                          <a:ln>
                            <a:noFill/>
                          </a:ln>
                          <a:extLst>
                            <a:ext uri="{53640926-AAD7-44D8-BBD7-CCE9431645EC}">
                              <a14:shadowObscured xmlns:a14="http://schemas.microsoft.com/office/drawing/2010/main"/>
                            </a:ext>
                          </a:extLst>
                        </pic:spPr>
                      </pic:pic>
                    </a:graphicData>
                  </a:graphic>
                </wp:inline>
              </w:drawing>
            </w:r>
          </w:p>
        </w:tc>
      </w:tr>
      <w:tr w:rsidR="0030339E" w:rsidRPr="00C6033A" w14:paraId="6DB53B3E" w14:textId="77777777" w:rsidTr="006703D6">
        <w:trPr>
          <w:trHeight w:val="498"/>
        </w:trPr>
        <w:tc>
          <w:tcPr>
            <w:tcW w:w="9791" w:type="dxa"/>
            <w:gridSpan w:val="3"/>
            <w:tcBorders>
              <w:top w:val="nil"/>
              <w:left w:val="nil"/>
              <w:bottom w:val="nil"/>
              <w:right w:val="nil"/>
            </w:tcBorders>
          </w:tcPr>
          <w:p w14:paraId="7A55C0B2" w14:textId="77777777" w:rsidR="0030339E" w:rsidRPr="0030339E" w:rsidRDefault="0030339E" w:rsidP="0030339E">
            <w:pPr>
              <w:jc w:val="left"/>
              <w:outlineLvl w:val="0"/>
              <w:rPr>
                <w:rFonts w:ascii="Arial" w:eastAsia="Times New Roman" w:hAnsi="Arial" w:cs="Arial"/>
                <w:b/>
                <w:bCs/>
                <w:color w:val="0C746A"/>
                <w:kern w:val="36"/>
                <w:sz w:val="24"/>
                <w:szCs w:val="24"/>
                <w:lang w:eastAsia="en-GB"/>
              </w:rPr>
            </w:pPr>
            <w:r w:rsidRPr="0030339E">
              <w:rPr>
                <w:rFonts w:ascii="Arial" w:eastAsia="Times New Roman" w:hAnsi="Arial" w:cs="Arial"/>
                <w:b/>
                <w:bCs/>
                <w:color w:val="0C746A"/>
                <w:kern w:val="36"/>
                <w:sz w:val="24"/>
                <w:szCs w:val="24"/>
                <w:lang w:eastAsia="en-GB"/>
              </w:rPr>
              <w:t>Sodium and Health: Old Myths and a Controversy Based on Denial</w:t>
            </w:r>
          </w:p>
          <w:p w14:paraId="46CE606E" w14:textId="77777777" w:rsidR="0030339E" w:rsidRPr="0030339E" w:rsidRDefault="0030339E" w:rsidP="0030339E">
            <w:pPr>
              <w:jc w:val="left"/>
              <w:rPr>
                <w:rFonts w:ascii="Arial" w:hAnsi="Arial" w:cs="Arial"/>
                <w:color w:val="454545"/>
                <w:sz w:val="24"/>
                <w:szCs w:val="24"/>
              </w:rPr>
            </w:pPr>
            <w:r w:rsidRPr="0030339E">
              <w:rPr>
                <w:rFonts w:ascii="Arial" w:hAnsi="Arial" w:cs="Arial"/>
                <w:color w:val="454545"/>
                <w:sz w:val="24"/>
                <w:szCs w:val="24"/>
              </w:rPr>
              <w:t>14 February (Feng He, Graham MacGregor. Centre for Public Health and Policy)</w:t>
            </w:r>
          </w:p>
          <w:p w14:paraId="0F593E3C" w14:textId="77777777" w:rsidR="0030339E" w:rsidRDefault="0030339E" w:rsidP="00AB4F7A">
            <w:pPr>
              <w:rPr>
                <w:rFonts w:ascii="Arial" w:hAnsi="Arial" w:cs="Arial"/>
                <w:b/>
                <w:bCs/>
                <w:noProof/>
                <w:color w:val="201F1E"/>
                <w:sz w:val="24"/>
                <w:szCs w:val="24"/>
              </w:rPr>
            </w:pPr>
          </w:p>
        </w:tc>
      </w:tr>
      <w:tr w:rsidR="0030339E" w:rsidRPr="00C6033A" w14:paraId="05CC6BC7" w14:textId="77777777" w:rsidTr="00CA526E">
        <w:trPr>
          <w:trHeight w:val="498"/>
        </w:trPr>
        <w:tc>
          <w:tcPr>
            <w:tcW w:w="5222" w:type="dxa"/>
            <w:tcBorders>
              <w:top w:val="nil"/>
              <w:left w:val="nil"/>
              <w:bottom w:val="nil"/>
              <w:right w:val="nil"/>
            </w:tcBorders>
          </w:tcPr>
          <w:p w14:paraId="208ECF4E" w14:textId="2C53E885" w:rsidR="0030339E" w:rsidRPr="00C804A9" w:rsidRDefault="0030339E" w:rsidP="000A5EBB">
            <w:pPr>
              <w:rPr>
                <w:rFonts w:ascii="Arial" w:eastAsia="Times New Roman" w:hAnsi="Arial" w:cs="Arial"/>
                <w:color w:val="454545"/>
                <w:sz w:val="24"/>
                <w:szCs w:val="24"/>
                <w:bdr w:val="none" w:sz="0" w:space="0" w:color="auto" w:frame="1"/>
                <w:lang w:eastAsia="en-GB"/>
              </w:rPr>
            </w:pPr>
            <w:r>
              <w:rPr>
                <w:noProof/>
                <w:lang w:eastAsia="en-GB"/>
              </w:rPr>
              <w:lastRenderedPageBreak/>
              <w:drawing>
                <wp:inline distT="0" distB="0" distL="0" distR="0" wp14:anchorId="2A0BFC3A" wp14:editId="0032E08C">
                  <wp:extent cx="2727297" cy="3635722"/>
                  <wp:effectExtent l="0" t="0" r="0" b="3175"/>
                  <wp:docPr id="19" name="Picture 19" descr="Public Health Nutr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 Health Nutri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7202" cy="3648926"/>
                          </a:xfrm>
                          <a:prstGeom prst="rect">
                            <a:avLst/>
                          </a:prstGeom>
                          <a:noFill/>
                          <a:ln>
                            <a:noFill/>
                          </a:ln>
                        </pic:spPr>
                      </pic:pic>
                    </a:graphicData>
                  </a:graphic>
                </wp:inline>
              </w:drawing>
            </w:r>
          </w:p>
        </w:tc>
        <w:tc>
          <w:tcPr>
            <w:tcW w:w="4569" w:type="dxa"/>
            <w:gridSpan w:val="2"/>
            <w:tcBorders>
              <w:top w:val="nil"/>
              <w:left w:val="nil"/>
              <w:bottom w:val="nil"/>
              <w:right w:val="nil"/>
            </w:tcBorders>
          </w:tcPr>
          <w:p w14:paraId="053CBCF9" w14:textId="77777777" w:rsidR="0030339E" w:rsidRPr="0030339E" w:rsidRDefault="0030339E" w:rsidP="0030339E">
            <w:pPr>
              <w:rPr>
                <w:rFonts w:ascii="Arial" w:hAnsi="Arial" w:cs="Arial"/>
                <w:color w:val="454545"/>
                <w:sz w:val="24"/>
                <w:szCs w:val="24"/>
              </w:rPr>
            </w:pPr>
            <w:r w:rsidRPr="0030339E">
              <w:rPr>
                <w:rFonts w:ascii="Arial" w:hAnsi="Arial" w:cs="Arial"/>
                <w:color w:val="454545"/>
                <w:sz w:val="24"/>
                <w:szCs w:val="24"/>
              </w:rPr>
              <w:t xml:space="preserve">Despite the global scientific consensus that high sodium intake increases blood pressure and  contributes to cardiovascular disease, eight articles published in the European Heart Journal in 2020 and 2021 have propagated a myth that lower sodium might increase cardiovascular disease risk. A consortium of leading world experts, including WIPH authors, has analysed these papers in a new </w:t>
            </w:r>
            <w:hyperlink r:id="rId18" w:history="1">
              <w:r w:rsidRPr="0030339E">
                <w:rPr>
                  <w:rFonts w:ascii="Arial" w:hAnsi="Arial" w:cs="Arial"/>
                  <w:color w:val="454545"/>
                  <w:sz w:val="24"/>
                  <w:szCs w:val="24"/>
                  <w:u w:val="single"/>
                </w:rPr>
                <w:t>review</w:t>
              </w:r>
            </w:hyperlink>
            <w:r w:rsidRPr="0030339E">
              <w:rPr>
                <w:rFonts w:ascii="Arial" w:hAnsi="Arial" w:cs="Arial"/>
                <w:color w:val="454545"/>
                <w:sz w:val="24"/>
                <w:szCs w:val="24"/>
              </w:rPr>
              <w:t>, summarising the misleading claims and considering the reasons behind them. The authors call on journal editors to take on greater responsibility in ensuring that unfounded claims about sodium intake are rigorously challenged in the review process, and to ensure that conflicts of interest, particularly in relation to food industry funding, are accurate and transparent.</w:t>
            </w:r>
          </w:p>
          <w:p w14:paraId="21B3B250" w14:textId="77777777" w:rsidR="0030339E" w:rsidRDefault="0030339E" w:rsidP="00AB4F7A">
            <w:pPr>
              <w:rPr>
                <w:rFonts w:ascii="Arial" w:hAnsi="Arial" w:cs="Arial"/>
                <w:b/>
                <w:bCs/>
                <w:noProof/>
                <w:color w:val="201F1E"/>
                <w:sz w:val="24"/>
                <w:szCs w:val="24"/>
              </w:rPr>
            </w:pPr>
          </w:p>
        </w:tc>
      </w:tr>
      <w:tr w:rsidR="00854219" w:rsidRPr="00C6033A" w14:paraId="1CEC9D2C" w14:textId="77777777" w:rsidTr="001C5018">
        <w:trPr>
          <w:trHeight w:val="498"/>
        </w:trPr>
        <w:tc>
          <w:tcPr>
            <w:tcW w:w="9791" w:type="dxa"/>
            <w:gridSpan w:val="3"/>
            <w:tcBorders>
              <w:top w:val="nil"/>
              <w:left w:val="nil"/>
              <w:bottom w:val="nil"/>
              <w:right w:val="nil"/>
            </w:tcBorders>
          </w:tcPr>
          <w:p w14:paraId="49AF8362" w14:textId="77777777" w:rsidR="00854219" w:rsidRDefault="00854219" w:rsidP="00854219">
            <w:pPr>
              <w:shd w:val="clear" w:color="auto" w:fill="FFFFFF"/>
              <w:jc w:val="left"/>
              <w:outlineLvl w:val="0"/>
              <w:rPr>
                <w:rFonts w:ascii="Arial" w:eastAsia="Times New Roman" w:hAnsi="Arial" w:cs="Arial"/>
                <w:b/>
                <w:bCs/>
                <w:color w:val="0C746A"/>
                <w:kern w:val="36"/>
                <w:sz w:val="24"/>
                <w:szCs w:val="24"/>
                <w:lang w:eastAsia="en-GB"/>
              </w:rPr>
            </w:pPr>
          </w:p>
          <w:p w14:paraId="686809DC" w14:textId="3037045F" w:rsidR="00854219" w:rsidRPr="00854219" w:rsidRDefault="00854219" w:rsidP="00854219">
            <w:pPr>
              <w:shd w:val="clear" w:color="auto" w:fill="FFFFFF"/>
              <w:jc w:val="left"/>
              <w:outlineLvl w:val="0"/>
              <w:rPr>
                <w:rFonts w:ascii="Arial" w:eastAsia="Times New Roman" w:hAnsi="Arial" w:cs="Arial"/>
                <w:b/>
                <w:bCs/>
                <w:color w:val="0C746A"/>
                <w:kern w:val="36"/>
                <w:sz w:val="24"/>
                <w:szCs w:val="24"/>
                <w:lang w:eastAsia="en-GB"/>
              </w:rPr>
            </w:pPr>
            <w:r w:rsidRPr="00854219">
              <w:rPr>
                <w:rFonts w:ascii="Arial" w:eastAsia="Times New Roman" w:hAnsi="Arial" w:cs="Arial"/>
                <w:b/>
                <w:bCs/>
                <w:color w:val="0C746A"/>
                <w:kern w:val="36"/>
                <w:sz w:val="24"/>
                <w:szCs w:val="24"/>
                <w:lang w:eastAsia="en-GB"/>
              </w:rPr>
              <w:t>Sodium content of restaurant dishes in China</w:t>
            </w:r>
          </w:p>
          <w:p w14:paraId="7A4F2D03" w14:textId="77777777" w:rsidR="00854219" w:rsidRPr="00854219" w:rsidRDefault="00854219" w:rsidP="00854219">
            <w:pPr>
              <w:jc w:val="left"/>
              <w:rPr>
                <w:rFonts w:ascii="Arial" w:hAnsi="Arial" w:cs="Arial"/>
                <w:color w:val="454545"/>
                <w:sz w:val="24"/>
                <w:szCs w:val="24"/>
              </w:rPr>
            </w:pPr>
            <w:r w:rsidRPr="00854219">
              <w:rPr>
                <w:rFonts w:ascii="Arial" w:hAnsi="Arial" w:cs="Arial"/>
                <w:color w:val="454545"/>
                <w:sz w:val="24"/>
                <w:szCs w:val="24"/>
              </w:rPr>
              <w:t>17 February (Monique tan, Feng He. Centre for Public Health and Policy)</w:t>
            </w:r>
          </w:p>
          <w:p w14:paraId="7B9EFA13" w14:textId="77777777" w:rsidR="00854219" w:rsidRDefault="00854219" w:rsidP="00AB4F7A">
            <w:pPr>
              <w:rPr>
                <w:rFonts w:ascii="Arial" w:hAnsi="Arial" w:cs="Arial"/>
                <w:b/>
                <w:bCs/>
                <w:noProof/>
                <w:color w:val="201F1E"/>
                <w:sz w:val="24"/>
                <w:szCs w:val="24"/>
              </w:rPr>
            </w:pPr>
          </w:p>
        </w:tc>
      </w:tr>
      <w:tr w:rsidR="00865F41" w:rsidRPr="00C6033A" w14:paraId="7B649B8A" w14:textId="77777777" w:rsidTr="00CA526E">
        <w:trPr>
          <w:trHeight w:val="498"/>
        </w:trPr>
        <w:tc>
          <w:tcPr>
            <w:tcW w:w="5222" w:type="dxa"/>
            <w:tcBorders>
              <w:top w:val="nil"/>
              <w:left w:val="nil"/>
              <w:bottom w:val="nil"/>
              <w:right w:val="nil"/>
            </w:tcBorders>
          </w:tcPr>
          <w:p w14:paraId="13533262" w14:textId="77777777" w:rsidR="00854219" w:rsidRPr="00854219" w:rsidRDefault="00854219" w:rsidP="00854219">
            <w:pPr>
              <w:keepNext/>
              <w:keepLines/>
              <w:shd w:val="clear" w:color="auto" w:fill="FFFFFF"/>
              <w:outlineLvl w:val="1"/>
              <w:rPr>
                <w:rFonts w:ascii="Arial" w:eastAsiaTheme="majorEastAsia" w:hAnsi="Arial" w:cs="Arial"/>
                <w:color w:val="454545"/>
                <w:sz w:val="24"/>
                <w:szCs w:val="24"/>
              </w:rPr>
            </w:pPr>
            <w:r w:rsidRPr="00854219">
              <w:rPr>
                <w:rFonts w:ascii="Arial" w:eastAsiaTheme="majorEastAsia" w:hAnsi="Arial" w:cs="Arial"/>
                <w:color w:val="454545"/>
                <w:sz w:val="24"/>
                <w:szCs w:val="24"/>
                <w:shd w:val="clear" w:color="auto" w:fill="FFFFFF"/>
              </w:rPr>
              <w:t>In 2017, three million deaths were attributable to high salt intake, with about half of these  occurring in China.</w:t>
            </w:r>
            <w:r w:rsidRPr="00854219">
              <w:rPr>
                <w:rFonts w:ascii="Arial" w:eastAsiaTheme="majorEastAsia" w:hAnsi="Arial" w:cs="Arial"/>
                <w:color w:val="454545"/>
                <w:sz w:val="24"/>
                <w:szCs w:val="24"/>
              </w:rPr>
              <w:t xml:space="preserve"> A cross-sectional </w:t>
            </w:r>
            <w:hyperlink r:id="rId19" w:history="1">
              <w:r w:rsidRPr="00854219">
                <w:rPr>
                  <w:rFonts w:ascii="Arial" w:eastAsiaTheme="majorEastAsia" w:hAnsi="Arial" w:cs="Arial"/>
                  <w:color w:val="454545"/>
                  <w:sz w:val="24"/>
                  <w:szCs w:val="24"/>
                  <w:u w:val="single"/>
                </w:rPr>
                <w:t>survey</w:t>
              </w:r>
            </w:hyperlink>
            <w:r w:rsidRPr="00854219">
              <w:rPr>
                <w:rFonts w:ascii="Arial" w:eastAsiaTheme="majorEastAsia" w:hAnsi="Arial" w:cs="Arial"/>
                <w:color w:val="454545"/>
                <w:sz w:val="24"/>
                <w:szCs w:val="24"/>
              </w:rPr>
              <w:t xml:space="preserve"> of the sodium content of restaurant dishes in China has found that 62% of single servings exceeded the WHO recommended daily intake of 2000mg, and that cooking salt was the leading source of sodium. Using data obtained from the 2019 restaurant intervention study, WIPH researchers determined that the median sodium content in restaurant dishes was over 2500mg per serving. The authors conclude that coordinated sodium reduction initiatives targeting the main sources of sodium in restaurant dishes are urgently needed.</w:t>
            </w:r>
          </w:p>
          <w:p w14:paraId="50165A48" w14:textId="77777777" w:rsidR="00865F41" w:rsidRPr="00C804A9" w:rsidRDefault="00865F41" w:rsidP="000A5EBB">
            <w:pPr>
              <w:rPr>
                <w:rFonts w:ascii="Arial" w:eastAsia="Times New Roman" w:hAnsi="Arial" w:cs="Arial"/>
                <w:color w:val="454545"/>
                <w:sz w:val="24"/>
                <w:szCs w:val="24"/>
                <w:bdr w:val="none" w:sz="0" w:space="0" w:color="auto" w:frame="1"/>
                <w:lang w:eastAsia="en-GB"/>
              </w:rPr>
            </w:pPr>
          </w:p>
        </w:tc>
        <w:tc>
          <w:tcPr>
            <w:tcW w:w="4569" w:type="dxa"/>
            <w:gridSpan w:val="2"/>
            <w:tcBorders>
              <w:top w:val="nil"/>
              <w:left w:val="nil"/>
              <w:bottom w:val="nil"/>
              <w:right w:val="nil"/>
            </w:tcBorders>
          </w:tcPr>
          <w:p w14:paraId="04924B6F" w14:textId="7FDFADD1" w:rsidR="00865F41" w:rsidRDefault="00854219" w:rsidP="00AB4F7A">
            <w:pPr>
              <w:rPr>
                <w:rFonts w:ascii="Arial" w:hAnsi="Arial" w:cs="Arial"/>
                <w:b/>
                <w:bCs/>
                <w:noProof/>
                <w:color w:val="201F1E"/>
                <w:sz w:val="24"/>
                <w:szCs w:val="24"/>
              </w:rPr>
            </w:pPr>
            <w:r>
              <w:rPr>
                <w:rFonts w:ascii="Arial" w:eastAsia="Times New Roman" w:hAnsi="Arial" w:cs="Arial"/>
                <w:b/>
                <w:bCs/>
                <w:noProof/>
                <w:color w:val="454545"/>
                <w:sz w:val="24"/>
                <w:szCs w:val="24"/>
                <w:lang w:eastAsia="en-GB"/>
              </w:rPr>
              <w:drawing>
                <wp:inline distT="0" distB="0" distL="0" distR="0" wp14:anchorId="431C28A8" wp14:editId="54392B17">
                  <wp:extent cx="2626156" cy="2784535"/>
                  <wp:effectExtent l="0" t="0" r="3175" b="0"/>
                  <wp:docPr id="22" name="Picture 22" descr="A picture containing person, food,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food, dish&#10;&#10;Description automatically generated"/>
                          <pic:cNvPicPr/>
                        </pic:nvPicPr>
                        <pic:blipFill rotWithShape="1">
                          <a:blip r:embed="rId20" cstate="print">
                            <a:extLst>
                              <a:ext uri="{28A0092B-C50C-407E-A947-70E740481C1C}">
                                <a14:useLocalDpi xmlns:a14="http://schemas.microsoft.com/office/drawing/2010/main" val="0"/>
                              </a:ext>
                            </a:extLst>
                          </a:blip>
                          <a:srcRect l="2410" t="22790" r="4768" b="1"/>
                          <a:stretch/>
                        </pic:blipFill>
                        <pic:spPr bwMode="auto">
                          <a:xfrm>
                            <a:off x="0" y="0"/>
                            <a:ext cx="2641668" cy="2800982"/>
                          </a:xfrm>
                          <a:prstGeom prst="rect">
                            <a:avLst/>
                          </a:prstGeom>
                          <a:ln>
                            <a:noFill/>
                          </a:ln>
                          <a:extLst>
                            <a:ext uri="{53640926-AAD7-44D8-BBD7-CCE9431645EC}">
                              <a14:shadowObscured xmlns:a14="http://schemas.microsoft.com/office/drawing/2010/main"/>
                            </a:ext>
                          </a:extLst>
                        </pic:spPr>
                      </pic:pic>
                    </a:graphicData>
                  </a:graphic>
                </wp:inline>
              </w:drawing>
            </w:r>
          </w:p>
        </w:tc>
      </w:tr>
      <w:tr w:rsidR="00854219" w:rsidRPr="00C6033A" w14:paraId="147ED42E" w14:textId="77777777" w:rsidTr="004F28C0">
        <w:trPr>
          <w:trHeight w:val="498"/>
        </w:trPr>
        <w:tc>
          <w:tcPr>
            <w:tcW w:w="9791" w:type="dxa"/>
            <w:gridSpan w:val="3"/>
            <w:tcBorders>
              <w:top w:val="nil"/>
              <w:left w:val="nil"/>
              <w:bottom w:val="nil"/>
              <w:right w:val="nil"/>
            </w:tcBorders>
          </w:tcPr>
          <w:p w14:paraId="4A725992" w14:textId="77777777" w:rsidR="00BD4EA0" w:rsidRDefault="00BD4EA0" w:rsidP="00BD4EA0">
            <w:pPr>
              <w:jc w:val="left"/>
              <w:rPr>
                <w:rFonts w:ascii="Arial" w:eastAsia="Times New Roman" w:hAnsi="Arial" w:cs="Arial"/>
                <w:b/>
                <w:bCs/>
                <w:color w:val="0C746A"/>
                <w:sz w:val="24"/>
                <w:szCs w:val="24"/>
                <w:bdr w:val="none" w:sz="0" w:space="0" w:color="auto" w:frame="1"/>
                <w:lang w:eastAsia="en-GB"/>
              </w:rPr>
            </w:pPr>
          </w:p>
          <w:p w14:paraId="7F0A9C94" w14:textId="5E097FC6" w:rsidR="00BD4EA0" w:rsidRPr="00BD4EA0" w:rsidRDefault="00BD4EA0" w:rsidP="00BD4EA0">
            <w:pPr>
              <w:jc w:val="left"/>
              <w:rPr>
                <w:rFonts w:ascii="Arial" w:hAnsi="Arial" w:cs="Arial"/>
                <w:b/>
                <w:bCs/>
                <w:color w:val="0C746A"/>
                <w:sz w:val="24"/>
                <w:szCs w:val="24"/>
              </w:rPr>
            </w:pPr>
            <w:r w:rsidRPr="00BD4EA0">
              <w:rPr>
                <w:rFonts w:ascii="Arial" w:eastAsia="Times New Roman" w:hAnsi="Arial" w:cs="Arial"/>
                <w:b/>
                <w:bCs/>
                <w:color w:val="0C746A"/>
                <w:sz w:val="24"/>
                <w:szCs w:val="24"/>
                <w:bdr w:val="none" w:sz="0" w:space="0" w:color="auto" w:frame="1"/>
                <w:lang w:eastAsia="en-GB"/>
              </w:rPr>
              <w:t xml:space="preserve">Funding </w:t>
            </w:r>
            <w:r w:rsidRPr="00BD4EA0">
              <w:rPr>
                <w:rFonts w:ascii="Arial" w:hAnsi="Arial" w:cs="Arial"/>
                <w:b/>
                <w:bCs/>
                <w:color w:val="0C746A"/>
                <w:sz w:val="24"/>
                <w:szCs w:val="24"/>
              </w:rPr>
              <w:t>to test the feasibility of the CUE1 medical device for alleviating</w:t>
            </w:r>
            <w:r>
              <w:rPr>
                <w:rFonts w:ascii="Arial" w:hAnsi="Arial" w:cs="Arial"/>
                <w:b/>
                <w:bCs/>
                <w:color w:val="0C746A"/>
                <w:sz w:val="24"/>
                <w:szCs w:val="24"/>
              </w:rPr>
              <w:t xml:space="preserve"> </w:t>
            </w:r>
            <w:r w:rsidRPr="00BD4EA0">
              <w:rPr>
                <w:rFonts w:ascii="Arial" w:hAnsi="Arial" w:cs="Arial"/>
                <w:b/>
                <w:bCs/>
                <w:color w:val="0C746A"/>
                <w:sz w:val="24"/>
                <w:szCs w:val="24"/>
              </w:rPr>
              <w:t>Parkinson’s Disease</w:t>
            </w:r>
            <w:r>
              <w:rPr>
                <w:rFonts w:ascii="Arial" w:hAnsi="Arial" w:cs="Arial"/>
                <w:b/>
                <w:bCs/>
                <w:color w:val="0C746A"/>
                <w:sz w:val="24"/>
                <w:szCs w:val="24"/>
              </w:rPr>
              <w:t xml:space="preserve"> symptoms</w:t>
            </w:r>
          </w:p>
          <w:p w14:paraId="5525E1AF" w14:textId="37D1C97A" w:rsidR="00BD4EA0" w:rsidRPr="00BD4EA0" w:rsidRDefault="00BD4EA0" w:rsidP="00BD4EA0">
            <w:pPr>
              <w:jc w:val="left"/>
              <w:rPr>
                <w:rFonts w:ascii="Arial" w:hAnsi="Arial" w:cs="Arial"/>
                <w:color w:val="454545"/>
                <w:sz w:val="24"/>
                <w:szCs w:val="24"/>
              </w:rPr>
            </w:pPr>
            <w:r w:rsidRPr="00BD4EA0">
              <w:rPr>
                <w:rFonts w:ascii="Arial" w:hAnsi="Arial" w:cs="Arial"/>
                <w:color w:val="454545"/>
                <w:sz w:val="24"/>
                <w:szCs w:val="24"/>
              </w:rPr>
              <w:t>17 February (Alastair Noyce, Cristina Simonet. Centre for Prevention, Detection and Diagnosis)</w:t>
            </w:r>
          </w:p>
          <w:p w14:paraId="69203ADB" w14:textId="77777777" w:rsidR="00854219" w:rsidRDefault="00854219" w:rsidP="00AB4F7A">
            <w:pPr>
              <w:rPr>
                <w:rFonts w:ascii="Arial" w:eastAsia="Times New Roman" w:hAnsi="Arial" w:cs="Arial"/>
                <w:b/>
                <w:bCs/>
                <w:noProof/>
                <w:color w:val="454545"/>
                <w:sz w:val="24"/>
                <w:szCs w:val="24"/>
                <w:lang w:eastAsia="en-GB"/>
              </w:rPr>
            </w:pPr>
          </w:p>
        </w:tc>
      </w:tr>
      <w:tr w:rsidR="00865F41" w:rsidRPr="00C6033A" w14:paraId="0C10D2E8" w14:textId="77777777" w:rsidTr="00CA526E">
        <w:trPr>
          <w:trHeight w:val="498"/>
        </w:trPr>
        <w:tc>
          <w:tcPr>
            <w:tcW w:w="5222" w:type="dxa"/>
            <w:tcBorders>
              <w:top w:val="nil"/>
              <w:left w:val="nil"/>
              <w:bottom w:val="nil"/>
              <w:right w:val="nil"/>
            </w:tcBorders>
          </w:tcPr>
          <w:p w14:paraId="251732A6" w14:textId="05FEDB28" w:rsidR="005C61C1" w:rsidRDefault="005C61C1" w:rsidP="000A5EBB">
            <w:pPr>
              <w:rPr>
                <w:rFonts w:ascii="Arial" w:eastAsia="Times New Roman" w:hAnsi="Arial" w:cs="Arial"/>
                <w:color w:val="454545"/>
                <w:sz w:val="24"/>
                <w:szCs w:val="24"/>
                <w:bdr w:val="none" w:sz="0" w:space="0" w:color="auto" w:frame="1"/>
                <w:lang w:eastAsia="en-GB"/>
              </w:rPr>
            </w:pPr>
            <w:r>
              <w:rPr>
                <w:rFonts w:ascii="Arial" w:hAnsi="Arial" w:cs="Arial"/>
                <w:b/>
                <w:bCs/>
                <w:noProof/>
                <w:color w:val="0C746A"/>
                <w:sz w:val="24"/>
                <w:szCs w:val="24"/>
                <w:lang w:eastAsia="en-GB"/>
              </w:rPr>
              <w:lastRenderedPageBreak/>
              <w:drawing>
                <wp:inline distT="0" distB="0" distL="0" distR="0" wp14:anchorId="1D2A40A3" wp14:editId="2CD5A5AE">
                  <wp:extent cx="3132814" cy="4194266"/>
                  <wp:effectExtent l="0" t="0" r="0" b="0"/>
                  <wp:docPr id="23" name="Picture 23" descr="A person holding a to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holding a toy&#10;&#10;Description automatically generated with low confidence"/>
                          <pic:cNvPicPr/>
                        </pic:nvPicPr>
                        <pic:blipFill rotWithShape="1">
                          <a:blip r:embed="rId21" cstate="print">
                            <a:extLst>
                              <a:ext uri="{28A0092B-C50C-407E-A947-70E740481C1C}">
                                <a14:useLocalDpi xmlns:a14="http://schemas.microsoft.com/office/drawing/2010/main" val="0"/>
                              </a:ext>
                            </a:extLst>
                          </a:blip>
                          <a:srcRect l="21910" r="36074"/>
                          <a:stretch/>
                        </pic:blipFill>
                        <pic:spPr bwMode="auto">
                          <a:xfrm>
                            <a:off x="0" y="0"/>
                            <a:ext cx="3140669" cy="4204782"/>
                          </a:xfrm>
                          <a:prstGeom prst="rect">
                            <a:avLst/>
                          </a:prstGeom>
                          <a:ln>
                            <a:noFill/>
                          </a:ln>
                          <a:extLst>
                            <a:ext uri="{53640926-AAD7-44D8-BBD7-CCE9431645EC}">
                              <a14:shadowObscured xmlns:a14="http://schemas.microsoft.com/office/drawing/2010/main"/>
                            </a:ext>
                          </a:extLst>
                        </pic:spPr>
                      </pic:pic>
                    </a:graphicData>
                  </a:graphic>
                </wp:inline>
              </w:drawing>
            </w:r>
          </w:p>
          <w:p w14:paraId="467A949A" w14:textId="6C5F74F8" w:rsidR="00865F41" w:rsidRPr="00C804A9" w:rsidRDefault="0015422F" w:rsidP="000A5EBB">
            <w:pPr>
              <w:rPr>
                <w:rFonts w:ascii="Arial" w:eastAsia="Times New Roman" w:hAnsi="Arial" w:cs="Arial"/>
                <w:color w:val="454545"/>
                <w:sz w:val="24"/>
                <w:szCs w:val="24"/>
                <w:bdr w:val="none" w:sz="0" w:space="0" w:color="auto" w:frame="1"/>
                <w:lang w:eastAsia="en-GB"/>
              </w:rPr>
            </w:pPr>
            <w:r>
              <w:rPr>
                <w:noProof/>
                <w:lang w:eastAsia="en-GB"/>
              </w:rPr>
              <w:drawing>
                <wp:inline distT="0" distB="0" distL="0" distR="0" wp14:anchorId="326361B5" wp14:editId="2939E117">
                  <wp:extent cx="3045125" cy="3007841"/>
                  <wp:effectExtent l="0" t="0" r="0" b="0"/>
                  <wp:docPr id="21" name="Picture 21" descr="Innovat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novate UK"/>
                          <pic:cNvPicPr>
                            <a:picLocks noChangeAspect="1" noChangeArrowheads="1"/>
                          </pic:cNvPicPr>
                        </pic:nvPicPr>
                        <pic:blipFill rotWithShape="1">
                          <a:blip r:embed="rId22">
                            <a:extLst>
                              <a:ext uri="{28A0092B-C50C-407E-A947-70E740481C1C}">
                                <a14:useLocalDpi xmlns:a14="http://schemas.microsoft.com/office/drawing/2010/main" val="0"/>
                              </a:ext>
                            </a:extLst>
                          </a:blip>
                          <a:srcRect r="15978"/>
                          <a:stretch/>
                        </pic:blipFill>
                        <pic:spPr bwMode="auto">
                          <a:xfrm>
                            <a:off x="0" y="0"/>
                            <a:ext cx="3051084" cy="30137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9" w:type="dxa"/>
            <w:gridSpan w:val="2"/>
            <w:tcBorders>
              <w:top w:val="nil"/>
              <w:left w:val="nil"/>
              <w:bottom w:val="nil"/>
              <w:right w:val="nil"/>
            </w:tcBorders>
          </w:tcPr>
          <w:p w14:paraId="5E00BAF4" w14:textId="78ECDCD9" w:rsidR="00D15089" w:rsidRPr="00D15089" w:rsidRDefault="00D15089" w:rsidP="00D15089">
            <w:pPr>
              <w:rPr>
                <w:rFonts w:ascii="Arial" w:hAnsi="Arial" w:cs="Arial"/>
                <w:color w:val="FF0000"/>
                <w:sz w:val="24"/>
                <w:szCs w:val="24"/>
              </w:rPr>
            </w:pPr>
            <w:r w:rsidRPr="00D15089">
              <w:rPr>
                <w:rFonts w:ascii="Arial" w:eastAsia="Times New Roman" w:hAnsi="Arial" w:cs="Arial"/>
                <w:color w:val="454545"/>
                <w:sz w:val="24"/>
                <w:szCs w:val="24"/>
                <w:bdr w:val="none" w:sz="0" w:space="0" w:color="auto" w:frame="1"/>
                <w:lang w:eastAsia="en-GB"/>
              </w:rPr>
              <w:t xml:space="preserve">Innovate UK Funding has been awarded for a 24 month </w:t>
            </w:r>
            <w:r w:rsidRPr="00D15089">
              <w:rPr>
                <w:rFonts w:ascii="Arial" w:hAnsi="Arial" w:cs="Arial"/>
                <w:color w:val="454545"/>
                <w:sz w:val="24"/>
                <w:szCs w:val="24"/>
              </w:rPr>
              <w:t xml:space="preserve">Knowledge Transfer Partnership project between Queen Mary University of London and Charco Neurotech, to test the feasibility of the CUE1 novel medical device to relieve symptoms of Parkinson’s disease. The project will assess tolerability of the device and its effect on clinical outcome measures, assessing optimal stimulation settings and positioning, accessing patients with Parkinson’s Disease, and designing a formal clinical trial. Parkinson's </w:t>
            </w:r>
            <w:r w:rsidR="00645C37">
              <w:rPr>
                <w:rFonts w:ascii="Arial" w:hAnsi="Arial" w:cs="Arial"/>
                <w:color w:val="454545"/>
                <w:sz w:val="24"/>
                <w:szCs w:val="24"/>
              </w:rPr>
              <w:t>D</w:t>
            </w:r>
            <w:r w:rsidRPr="00D15089">
              <w:rPr>
                <w:rFonts w:ascii="Arial" w:hAnsi="Arial" w:cs="Arial"/>
                <w:color w:val="454545"/>
                <w:sz w:val="24"/>
                <w:szCs w:val="24"/>
              </w:rPr>
              <w:t xml:space="preserve">isease may be the fastest growing  degenerative condition of the nervous system worldwide, with progressive deterioration in movement the most recognisable feature. Drug treatment administered multiple times per day can manage this symptom but, over time, symptom control deteriorates, rendering the patient either immobile or suffering from excessive involuntary movement, and causing significant disability and poor life quality. The CUE1 device, worn on the sternum, uses vibrations and external sensory cues to reduce balance problems, falls, and involuntary muscle movements, and to improve dexterity. Efficacy and tolerability need to be demonstrated in a clinical setting before the device can be widely 'prescribed', and QMUL clinical expertise will shape the design of an intervention study to assess the real clinical effects. </w:t>
            </w:r>
            <w:r w:rsidR="00F26D07">
              <w:rPr>
                <w:rFonts w:ascii="Arial" w:hAnsi="Arial" w:cs="Arial"/>
                <w:color w:val="454545"/>
                <w:sz w:val="24"/>
                <w:szCs w:val="24"/>
              </w:rPr>
              <w:t xml:space="preserve">WIPH </w:t>
            </w:r>
            <w:r w:rsidRPr="00D15089">
              <w:rPr>
                <w:rFonts w:ascii="Arial" w:hAnsi="Arial" w:cs="Arial"/>
                <w:color w:val="454545"/>
                <w:sz w:val="24"/>
                <w:szCs w:val="24"/>
              </w:rPr>
              <w:t xml:space="preserve">Knowledge </w:t>
            </w:r>
            <w:r w:rsidR="00645C37">
              <w:rPr>
                <w:rFonts w:ascii="Arial" w:hAnsi="Arial" w:cs="Arial"/>
                <w:color w:val="454545"/>
                <w:sz w:val="24"/>
                <w:szCs w:val="24"/>
              </w:rPr>
              <w:t>B</w:t>
            </w:r>
            <w:r w:rsidRPr="00D15089">
              <w:rPr>
                <w:rFonts w:ascii="Arial" w:hAnsi="Arial" w:cs="Arial"/>
                <w:color w:val="454545"/>
                <w:sz w:val="24"/>
                <w:szCs w:val="24"/>
              </w:rPr>
              <w:t xml:space="preserve">ase </w:t>
            </w:r>
            <w:r w:rsidR="00F26D07">
              <w:rPr>
                <w:rFonts w:ascii="Arial" w:hAnsi="Arial" w:cs="Arial"/>
                <w:color w:val="454545"/>
                <w:sz w:val="24"/>
                <w:szCs w:val="24"/>
              </w:rPr>
              <w:t>team</w:t>
            </w:r>
            <w:r w:rsidRPr="00D15089">
              <w:rPr>
                <w:rFonts w:ascii="Arial" w:hAnsi="Arial" w:cs="Arial"/>
                <w:color w:val="454545"/>
                <w:sz w:val="24"/>
                <w:szCs w:val="24"/>
              </w:rPr>
              <w:t xml:space="preserve"> Alastair Noyce and Cristina Simonet said: “</w:t>
            </w:r>
            <w:r w:rsidRPr="00D15089">
              <w:rPr>
                <w:rFonts w:ascii="Arial" w:hAnsi="Arial" w:cs="Arial"/>
                <w:i/>
                <w:iCs/>
                <w:color w:val="454545"/>
                <w:sz w:val="24"/>
                <w:szCs w:val="24"/>
                <w:bdr w:val="none" w:sz="0" w:space="0" w:color="auto" w:frame="1"/>
                <w:shd w:val="clear" w:color="auto" w:fill="FFFFFF"/>
              </w:rPr>
              <w:t>We are very excited to have the opportunity to partner with Charco Neurotech and investigate the role that the CUE1 device has in treating challenging symptoms of Parkinson’s. We know that it is beautifully designed and has yielded benefits for some patients, but now it is time to investigate just how much it can offer to a wider group with Parkinson’s.”</w:t>
            </w:r>
          </w:p>
          <w:p w14:paraId="67A3A57E" w14:textId="77777777" w:rsidR="00865F41" w:rsidRDefault="00865F41" w:rsidP="00AB4F7A">
            <w:pPr>
              <w:rPr>
                <w:rFonts w:ascii="Arial" w:hAnsi="Arial" w:cs="Arial"/>
                <w:b/>
                <w:bCs/>
                <w:noProof/>
                <w:color w:val="201F1E"/>
                <w:sz w:val="24"/>
                <w:szCs w:val="24"/>
              </w:rPr>
            </w:pPr>
          </w:p>
        </w:tc>
      </w:tr>
      <w:tr w:rsidR="0015422F" w:rsidRPr="00C6033A" w14:paraId="18594622" w14:textId="77777777" w:rsidTr="00251AD1">
        <w:trPr>
          <w:trHeight w:val="498"/>
        </w:trPr>
        <w:tc>
          <w:tcPr>
            <w:tcW w:w="9791" w:type="dxa"/>
            <w:gridSpan w:val="3"/>
            <w:tcBorders>
              <w:top w:val="nil"/>
              <w:left w:val="nil"/>
              <w:bottom w:val="nil"/>
              <w:right w:val="nil"/>
            </w:tcBorders>
          </w:tcPr>
          <w:p w14:paraId="0D5FAA15" w14:textId="77777777" w:rsidR="0015422F" w:rsidRPr="0015422F" w:rsidRDefault="0015422F" w:rsidP="0015422F">
            <w:pPr>
              <w:shd w:val="clear" w:color="auto" w:fill="FFFFFF"/>
              <w:jc w:val="left"/>
              <w:rPr>
                <w:rFonts w:ascii="Arial" w:eastAsia="Times New Roman" w:hAnsi="Arial" w:cs="Arial"/>
                <w:color w:val="201F1E"/>
                <w:sz w:val="24"/>
                <w:szCs w:val="24"/>
                <w:lang w:eastAsia="en-GB"/>
              </w:rPr>
            </w:pPr>
            <w:r w:rsidRPr="0015422F">
              <w:rPr>
                <w:rFonts w:ascii="Arial" w:hAnsi="Arial" w:cs="Arial"/>
                <w:b/>
                <w:bCs/>
                <w:color w:val="0C746A"/>
                <w:sz w:val="24"/>
                <w:szCs w:val="24"/>
              </w:rPr>
              <w:t>Delayed US sodium targets may cost 250,000 lives</w:t>
            </w:r>
          </w:p>
          <w:p w14:paraId="2A0C9629" w14:textId="77777777" w:rsidR="0015422F" w:rsidRPr="0015422F" w:rsidRDefault="0015422F" w:rsidP="0015422F">
            <w:pPr>
              <w:rPr>
                <w:rFonts w:ascii="Arial" w:eastAsiaTheme="minorEastAsia" w:hAnsi="Arial" w:cs="Arial"/>
                <w:color w:val="454545"/>
                <w:sz w:val="24"/>
                <w:szCs w:val="24"/>
                <w:lang w:eastAsia="zh-CN"/>
              </w:rPr>
            </w:pPr>
            <w:r w:rsidRPr="0015422F">
              <w:rPr>
                <w:rFonts w:ascii="Arial" w:eastAsiaTheme="minorEastAsia" w:hAnsi="Arial" w:cs="Arial"/>
                <w:color w:val="454545"/>
                <w:sz w:val="24"/>
                <w:szCs w:val="24"/>
                <w:lang w:eastAsia="zh-CN"/>
              </w:rPr>
              <w:t>21  February (Jing Song, Mhairi  Brown, Graham MacGregor, Feng He. Centre for Public Health and Policy)</w:t>
            </w:r>
          </w:p>
          <w:p w14:paraId="36F9630A" w14:textId="77777777" w:rsidR="0015422F" w:rsidRDefault="0015422F" w:rsidP="00AB4F7A">
            <w:pPr>
              <w:rPr>
                <w:rFonts w:ascii="Arial" w:hAnsi="Arial" w:cs="Arial"/>
                <w:b/>
                <w:bCs/>
                <w:noProof/>
                <w:color w:val="201F1E"/>
                <w:sz w:val="24"/>
                <w:szCs w:val="24"/>
              </w:rPr>
            </w:pPr>
          </w:p>
        </w:tc>
      </w:tr>
      <w:tr w:rsidR="0015422F" w:rsidRPr="00C6033A" w14:paraId="2424B7F3" w14:textId="77777777" w:rsidTr="00CA526E">
        <w:trPr>
          <w:trHeight w:val="498"/>
        </w:trPr>
        <w:tc>
          <w:tcPr>
            <w:tcW w:w="5222" w:type="dxa"/>
            <w:tcBorders>
              <w:top w:val="nil"/>
              <w:left w:val="nil"/>
              <w:bottom w:val="nil"/>
              <w:right w:val="nil"/>
            </w:tcBorders>
          </w:tcPr>
          <w:p w14:paraId="2AA2897A" w14:textId="77777777" w:rsidR="0015422F" w:rsidRPr="0015422F" w:rsidRDefault="0015422F" w:rsidP="0015422F">
            <w:pPr>
              <w:rPr>
                <w:rFonts w:ascii="Arial" w:hAnsi="Arial" w:cs="Arial"/>
                <w:color w:val="454545"/>
                <w:sz w:val="24"/>
                <w:szCs w:val="24"/>
                <w:shd w:val="clear" w:color="auto" w:fill="FFFFFF"/>
              </w:rPr>
            </w:pPr>
            <w:r w:rsidRPr="0015422F">
              <w:rPr>
                <w:rFonts w:ascii="Arial" w:hAnsi="Arial" w:cs="Arial"/>
                <w:color w:val="454545"/>
                <w:sz w:val="24"/>
                <w:szCs w:val="24"/>
              </w:rPr>
              <w:lastRenderedPageBreak/>
              <w:t xml:space="preserve">In 2016 the US Food and Drug Administration (FDA) proposed short term (2yr) and long term (10yr) voluntary sodium-reduction targets for &gt;150 processed- and prepared-food categories. Short term targets were finalized 4.3 years later in 2021, but the 10 year targets are yet to be confirmed. In a new </w:t>
            </w:r>
            <w:hyperlink r:id="rId23" w:history="1">
              <w:r w:rsidRPr="0015422F">
                <w:rPr>
                  <w:rFonts w:ascii="Arial" w:hAnsi="Arial" w:cs="Arial"/>
                  <w:color w:val="454545"/>
                  <w:sz w:val="24"/>
                  <w:szCs w:val="24"/>
                  <w:u w:val="single"/>
                  <w:shd w:val="clear" w:color="auto" w:fill="FFFFFF"/>
                </w:rPr>
                <w:t>study</w:t>
              </w:r>
            </w:hyperlink>
            <w:r w:rsidRPr="0015422F">
              <w:rPr>
                <w:rFonts w:ascii="Arial" w:hAnsi="Arial" w:cs="Arial"/>
                <w:color w:val="454545"/>
                <w:sz w:val="24"/>
                <w:szCs w:val="24"/>
              </w:rPr>
              <w:t xml:space="preserve">, authors from the Research and Action on Salt and Obesity Unit modelled the health benefits of implementing  FDA sodium reduction targets, and assessed the health loss due to delay in finalizing targets. Their results project that up to 446,000 deaths might be prevented in the next 10 years, depending on whether the long-term targets are finalized by April 2024 and to what degree the sodium reduction targets are achieved. Net deaths due to the FDA’s 4.3-year delay in finalizing the targets might be as high as 265,000 between 2017-2031. First author Jing Song said: </w:t>
            </w:r>
            <w:r w:rsidRPr="0015422F">
              <w:rPr>
                <w:rFonts w:ascii="Arial" w:hAnsi="Arial" w:cs="Arial"/>
                <w:i/>
                <w:iCs/>
                <w:color w:val="454545"/>
                <w:sz w:val="24"/>
                <w:szCs w:val="24"/>
              </w:rPr>
              <w:t>These findings highlight the enormous health costs due to the FDA’s delay in finalizing the sodium-reduction targets, and the great potential health benefits of industry compliance with FDA’s finalization of its short- and long-term targets in the coming 10 years.</w:t>
            </w:r>
          </w:p>
          <w:p w14:paraId="4B6C33E5" w14:textId="77777777" w:rsidR="0015422F" w:rsidRDefault="0015422F" w:rsidP="000A5EBB">
            <w:pPr>
              <w:rPr>
                <w:noProof/>
              </w:rPr>
            </w:pPr>
          </w:p>
        </w:tc>
        <w:tc>
          <w:tcPr>
            <w:tcW w:w="4569" w:type="dxa"/>
            <w:gridSpan w:val="2"/>
            <w:tcBorders>
              <w:top w:val="nil"/>
              <w:left w:val="nil"/>
              <w:bottom w:val="nil"/>
              <w:right w:val="nil"/>
            </w:tcBorders>
          </w:tcPr>
          <w:p w14:paraId="110FBF25" w14:textId="3F7D1CF1" w:rsidR="0015422F" w:rsidRDefault="0015422F" w:rsidP="00AB4F7A">
            <w:pPr>
              <w:rPr>
                <w:rFonts w:ascii="Arial" w:hAnsi="Arial" w:cs="Arial"/>
                <w:b/>
                <w:bCs/>
                <w:noProof/>
                <w:color w:val="201F1E"/>
                <w:sz w:val="24"/>
                <w:szCs w:val="24"/>
              </w:rPr>
            </w:pPr>
            <w:r w:rsidRPr="00B52D5B">
              <w:rPr>
                <w:rFonts w:ascii="Arial" w:hAnsi="Arial" w:cs="Arial"/>
                <w:noProof/>
                <w:sz w:val="24"/>
                <w:szCs w:val="24"/>
                <w:lang w:eastAsia="en-GB"/>
              </w:rPr>
              <w:drawing>
                <wp:inline distT="0" distB="0" distL="0" distR="0" wp14:anchorId="3DCC20FE" wp14:editId="18943585">
                  <wp:extent cx="2751827" cy="36995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4" cstate="print">
                            <a:extLst>
                              <a:ext uri="{28A0092B-C50C-407E-A947-70E740481C1C}">
                                <a14:useLocalDpi xmlns:a14="http://schemas.microsoft.com/office/drawing/2010/main" val="0"/>
                              </a:ext>
                            </a:extLst>
                          </a:blip>
                          <a:srcRect l="18073" r="34201"/>
                          <a:stretch/>
                        </pic:blipFill>
                        <pic:spPr bwMode="auto">
                          <a:xfrm>
                            <a:off x="0" y="0"/>
                            <a:ext cx="2817651" cy="3787997"/>
                          </a:xfrm>
                          <a:prstGeom prst="rect">
                            <a:avLst/>
                          </a:prstGeom>
                          <a:ln>
                            <a:noFill/>
                          </a:ln>
                          <a:extLst>
                            <a:ext uri="{53640926-AAD7-44D8-BBD7-CCE9431645EC}">
                              <a14:shadowObscured xmlns:a14="http://schemas.microsoft.com/office/drawing/2010/main"/>
                            </a:ext>
                          </a:extLst>
                        </pic:spPr>
                      </pic:pic>
                    </a:graphicData>
                  </a:graphic>
                </wp:inline>
              </w:drawing>
            </w:r>
          </w:p>
        </w:tc>
      </w:tr>
      <w:tr w:rsidR="0015422F" w:rsidRPr="00C6033A" w14:paraId="4B893638" w14:textId="77777777" w:rsidTr="00EA2CB8">
        <w:trPr>
          <w:trHeight w:val="498"/>
        </w:trPr>
        <w:tc>
          <w:tcPr>
            <w:tcW w:w="9791" w:type="dxa"/>
            <w:gridSpan w:val="3"/>
            <w:tcBorders>
              <w:top w:val="nil"/>
              <w:left w:val="nil"/>
              <w:bottom w:val="nil"/>
              <w:right w:val="nil"/>
            </w:tcBorders>
          </w:tcPr>
          <w:p w14:paraId="75F62799" w14:textId="77777777" w:rsidR="00BF247E" w:rsidRPr="00BF247E" w:rsidRDefault="00BF247E" w:rsidP="00BF247E">
            <w:pPr>
              <w:shd w:val="clear" w:color="auto" w:fill="FFFFFF"/>
              <w:jc w:val="left"/>
              <w:outlineLvl w:val="0"/>
              <w:rPr>
                <w:rFonts w:ascii="Arial" w:eastAsia="Times New Roman" w:hAnsi="Arial" w:cs="Arial"/>
                <w:b/>
                <w:bCs/>
                <w:color w:val="0C746A"/>
                <w:kern w:val="36"/>
                <w:sz w:val="24"/>
                <w:szCs w:val="24"/>
                <w:lang w:eastAsia="en-GB"/>
              </w:rPr>
            </w:pPr>
            <w:r w:rsidRPr="00BF247E">
              <w:rPr>
                <w:rFonts w:ascii="Arial" w:eastAsia="Times New Roman" w:hAnsi="Arial" w:cs="Arial"/>
                <w:b/>
                <w:bCs/>
                <w:color w:val="0C746A"/>
                <w:kern w:val="36"/>
                <w:sz w:val="24"/>
                <w:szCs w:val="24"/>
                <w:lang w:eastAsia="en-GB"/>
              </w:rPr>
              <w:t>Determinants of pre-vaccination antibody responses to SARS-CoV-2 in the UK</w:t>
            </w:r>
          </w:p>
          <w:p w14:paraId="3B7CC9ED" w14:textId="748AA90C" w:rsidR="00F025F7" w:rsidRPr="00CE73F5" w:rsidRDefault="00BF247E" w:rsidP="00CE73F5">
            <w:pPr>
              <w:jc w:val="left"/>
              <w:rPr>
                <w:rFonts w:ascii="Arial" w:hAnsi="Arial" w:cs="Arial"/>
                <w:color w:val="454545"/>
                <w:sz w:val="24"/>
                <w:szCs w:val="24"/>
                <w:shd w:val="clear" w:color="auto" w:fill="FFFFFF"/>
              </w:rPr>
            </w:pPr>
            <w:r w:rsidRPr="00BF247E">
              <w:rPr>
                <w:rFonts w:ascii="Arial" w:hAnsi="Arial" w:cs="Arial"/>
                <w:color w:val="454545"/>
                <w:sz w:val="24"/>
                <w:szCs w:val="24"/>
                <w:shd w:val="clear" w:color="auto" w:fill="FFFFFF"/>
              </w:rPr>
              <w:t>22 February (Mohammad Talaei, Hayley Holt, David Joliffe, Giulia Vivaldi, Chris Griffiths, Seif Shaheen. Centres for Primary Care/ Prevention, Detection and Diagnosis)</w:t>
            </w:r>
          </w:p>
          <w:p w14:paraId="78EA31E6" w14:textId="41E9A571" w:rsidR="00F025F7" w:rsidRDefault="00F025F7" w:rsidP="00AB4F7A">
            <w:pPr>
              <w:rPr>
                <w:rFonts w:ascii="Arial" w:hAnsi="Arial" w:cs="Arial"/>
                <w:b/>
                <w:bCs/>
                <w:noProof/>
                <w:color w:val="201F1E"/>
                <w:sz w:val="24"/>
                <w:szCs w:val="24"/>
              </w:rPr>
            </w:pPr>
          </w:p>
        </w:tc>
      </w:tr>
      <w:tr w:rsidR="0015422F" w:rsidRPr="00C6033A" w14:paraId="3DE4471A" w14:textId="77777777" w:rsidTr="00CA526E">
        <w:trPr>
          <w:trHeight w:val="498"/>
        </w:trPr>
        <w:tc>
          <w:tcPr>
            <w:tcW w:w="5222" w:type="dxa"/>
            <w:tcBorders>
              <w:top w:val="nil"/>
              <w:left w:val="nil"/>
              <w:bottom w:val="nil"/>
              <w:right w:val="nil"/>
            </w:tcBorders>
          </w:tcPr>
          <w:p w14:paraId="0DE4C3B0" w14:textId="6C27ED1B" w:rsidR="0015422F" w:rsidRDefault="002E18D1" w:rsidP="000A5EBB">
            <w:pPr>
              <w:rPr>
                <w:noProof/>
              </w:rPr>
            </w:pPr>
            <w:r>
              <w:rPr>
                <w:noProof/>
                <w:lang w:eastAsia="en-GB"/>
              </w:rPr>
              <w:lastRenderedPageBreak/>
              <w:drawing>
                <wp:inline distT="0" distB="0" distL="0" distR="0" wp14:anchorId="52C0059D" wp14:editId="41A1AC41">
                  <wp:extent cx="3211195" cy="6331789"/>
                  <wp:effectExtent l="0" t="0" r="8255" b="0"/>
                  <wp:docPr id="26" name="Picture 26" descr="SARS-CoV-2 virus particle surrounded by antibodies. Credit: koto_feja/ iStoc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ARS-CoV-2 virus particle surrounded by antibodies. Credit: koto_feja/ iStock.com"/>
                          <pic:cNvPicPr>
                            <a:picLocks noChangeAspect="1"/>
                          </pic:cNvPicPr>
                        </pic:nvPicPr>
                        <pic:blipFill rotWithShape="1">
                          <a:blip r:embed="rId25">
                            <a:extLst>
                              <a:ext uri="{28A0092B-C50C-407E-A947-70E740481C1C}">
                                <a14:useLocalDpi xmlns:a14="http://schemas.microsoft.com/office/drawing/2010/main" val="0"/>
                              </a:ext>
                            </a:extLst>
                          </a:blip>
                          <a:srcRect l="28456" r="34172"/>
                          <a:stretch/>
                        </pic:blipFill>
                        <pic:spPr bwMode="auto">
                          <a:xfrm>
                            <a:off x="0" y="0"/>
                            <a:ext cx="3274325" cy="6456267"/>
                          </a:xfrm>
                          <a:prstGeom prst="rect">
                            <a:avLst/>
                          </a:prstGeom>
                          <a:noFill/>
                          <a:ln>
                            <a:noFill/>
                          </a:ln>
                          <a:extLst>
                            <a:ext uri="{53640926-AAD7-44D8-BBD7-CCE9431645EC}">
                              <a14:shadowObscured xmlns:a14="http://schemas.microsoft.com/office/drawing/2010/main"/>
                            </a:ext>
                          </a:extLst>
                        </pic:spPr>
                      </pic:pic>
                    </a:graphicData>
                  </a:graphic>
                </wp:inline>
              </w:drawing>
            </w:r>
          </w:p>
          <w:p w14:paraId="22AF0015" w14:textId="40075668" w:rsidR="004666B4" w:rsidRDefault="004666B4" w:rsidP="000A5EBB">
            <w:pPr>
              <w:rPr>
                <w:noProof/>
              </w:rPr>
            </w:pPr>
          </w:p>
          <w:p w14:paraId="7F73DC84" w14:textId="77777777" w:rsidR="00EC5A63" w:rsidRDefault="00EC5A63" w:rsidP="000A5EBB">
            <w:pPr>
              <w:rPr>
                <w:noProof/>
              </w:rPr>
            </w:pPr>
          </w:p>
          <w:p w14:paraId="29F1E0EB" w14:textId="782D65C2" w:rsidR="00BF247E" w:rsidRDefault="00BF247E" w:rsidP="000A5EBB">
            <w:pPr>
              <w:rPr>
                <w:noProof/>
              </w:rPr>
            </w:pPr>
          </w:p>
        </w:tc>
        <w:tc>
          <w:tcPr>
            <w:tcW w:w="4569" w:type="dxa"/>
            <w:gridSpan w:val="2"/>
            <w:tcBorders>
              <w:top w:val="nil"/>
              <w:left w:val="nil"/>
              <w:bottom w:val="nil"/>
              <w:right w:val="nil"/>
            </w:tcBorders>
          </w:tcPr>
          <w:p w14:paraId="10AD67BA" w14:textId="7E0D5564" w:rsidR="004666B4" w:rsidRPr="00B410D5" w:rsidRDefault="004666B4" w:rsidP="004666B4">
            <w:pPr>
              <w:pStyle w:val="xmsonormal"/>
              <w:shd w:val="clear" w:color="auto" w:fill="FFFFFF"/>
              <w:spacing w:before="0" w:beforeAutospacing="0" w:after="0" w:afterAutospacing="0"/>
              <w:jc w:val="both"/>
              <w:rPr>
                <w:rFonts w:ascii="Arial" w:hAnsi="Arial" w:cs="Arial"/>
                <w:color w:val="454545"/>
                <w:shd w:val="clear" w:color="auto" w:fill="FFFFFF"/>
              </w:rPr>
            </w:pPr>
            <w:r w:rsidRPr="00B410D5">
              <w:rPr>
                <w:rFonts w:ascii="Arial" w:hAnsi="Arial" w:cs="Arial"/>
                <w:color w:val="454545"/>
              </w:rPr>
              <w:t xml:space="preserve">A prospective population-based </w:t>
            </w:r>
            <w:hyperlink r:id="rId26" w:history="1">
              <w:r w:rsidRPr="00B410D5">
                <w:rPr>
                  <w:rStyle w:val="Hyperlink"/>
                  <w:rFonts w:ascii="Arial" w:hAnsi="Arial" w:cs="Arial"/>
                  <w:color w:val="454545"/>
                  <w:shd w:val="clear" w:color="auto" w:fill="FFFFFF"/>
                </w:rPr>
                <w:t>study</w:t>
              </w:r>
            </w:hyperlink>
            <w:r w:rsidRPr="00B410D5">
              <w:rPr>
                <w:rFonts w:ascii="Arial" w:hAnsi="Arial" w:cs="Arial"/>
                <w:color w:val="454545"/>
              </w:rPr>
              <w:t xml:space="preserve"> of &gt;11,000 UK adults not vaccinated against or testing positive for COVID-19 before enrolment in the COVIDENCE study has found that higher alcohol consumption and lower light physical exercise are new, modifiable risk factors for COVID infection.</w:t>
            </w:r>
            <w:r w:rsidRPr="00B410D5">
              <w:rPr>
                <w:rFonts w:ascii="Arial" w:hAnsi="Arial" w:cs="Arial"/>
                <w:color w:val="454545"/>
                <w:shd w:val="clear" w:color="auto" w:fill="FFFFFF"/>
              </w:rPr>
              <w:t xml:space="preserve"> Previous large population-based serology studies have not considered risk factors related to lifestyle, diet, or levels of physical activity. In this study, r</w:t>
            </w:r>
            <w:r w:rsidRPr="00B410D5">
              <w:rPr>
                <w:rFonts w:ascii="Arial" w:hAnsi="Arial" w:cs="Arial"/>
                <w:color w:val="454545"/>
              </w:rPr>
              <w:t xml:space="preserve">esearchers used online questionnaires to collect information on 88 potential sociodemographic, behavioural, nutritional, clinical and pharmacological risk factors. </w:t>
            </w:r>
            <w:r w:rsidRPr="00B410D5">
              <w:rPr>
                <w:rFonts w:ascii="Arial" w:hAnsi="Arial" w:cs="Arial"/>
                <w:color w:val="454545"/>
                <w:shd w:val="clear" w:color="auto" w:fill="FFFFFF"/>
              </w:rPr>
              <w:t>Serological population-based studies test members of a population uniformly, including people who might not be captured by routine testing. This approach reduces the risk of bias and can uncover previously undetected asymptomatic infections. In this research, r</w:t>
            </w:r>
            <w:r w:rsidRPr="00B410D5">
              <w:rPr>
                <w:rFonts w:ascii="Arial" w:hAnsi="Arial" w:cs="Arial"/>
                <w:color w:val="454545"/>
              </w:rPr>
              <w:t xml:space="preserve">esponses to SARS-CoV-2 spike glycoprotein in dried blood spots taken from Nov 2020 to April 2021 showed that 15.2% (1696) of participants were seropositive. Recognised associations between South Asian ethnic origin and obesity and higher risk of SARS-CoV-2 seropositivity were independent of other sociodemographic, behavioural, nutritional, clinical, and pharmacological factors investigated. Among seropositive participants, higher titres of anti-Spike antibodies in people of South Asian ancestry and in obese people were not explained by greater COVID-19 disease severity in these groups. First </w:t>
            </w:r>
            <w:r w:rsidRPr="00B410D5">
              <w:rPr>
                <w:rFonts w:ascii="Arial" w:hAnsi="Arial" w:cs="Arial"/>
                <w:color w:val="454545"/>
                <w:bdr w:val="none" w:sz="0" w:space="0" w:color="auto" w:frame="1"/>
                <w:shd w:val="clear" w:color="auto" w:fill="FFFFFF"/>
              </w:rPr>
              <w:t>Author Mohammad Talaei said</w:t>
            </w:r>
            <w:r>
              <w:rPr>
                <w:rFonts w:ascii="Arial" w:hAnsi="Arial" w:cs="Arial"/>
                <w:color w:val="454545"/>
                <w:bdr w:val="none" w:sz="0" w:space="0" w:color="auto" w:frame="1"/>
                <w:shd w:val="clear" w:color="auto" w:fill="FFFFFF"/>
              </w:rPr>
              <w:t xml:space="preserve">: </w:t>
            </w:r>
            <w:r w:rsidRPr="00B410D5">
              <w:rPr>
                <w:rFonts w:ascii="Arial" w:hAnsi="Arial" w:cs="Arial"/>
                <w:color w:val="454545"/>
                <w:bdr w:val="none" w:sz="0" w:space="0" w:color="auto" w:frame="1"/>
              </w:rPr>
              <w:t>“</w:t>
            </w:r>
            <w:r w:rsidRPr="00B410D5">
              <w:rPr>
                <w:rFonts w:ascii="Arial" w:hAnsi="Arial" w:cs="Arial"/>
                <w:i/>
                <w:iCs/>
                <w:color w:val="454545"/>
                <w:bdr w:val="none" w:sz="0" w:space="0" w:color="auto" w:frame="1"/>
              </w:rPr>
              <w:t>The links we have shown between South Asian ethnicity and modifiable lifestyle factors and higher risk of seropositivity, as well as associations with antibody titres for factors like ethnicity, dairy intake, and anxiety and depression, are subjects for future research to understand underlying mechanisms and to plan preventive measures better</w:t>
            </w:r>
            <w:r>
              <w:rPr>
                <w:rFonts w:ascii="Arial" w:hAnsi="Arial" w:cs="Arial"/>
                <w:color w:val="454545"/>
                <w:bdr w:val="none" w:sz="0" w:space="0" w:color="auto" w:frame="1"/>
              </w:rPr>
              <w:t>.</w:t>
            </w:r>
            <w:r w:rsidRPr="00B410D5">
              <w:rPr>
                <w:rFonts w:ascii="Arial" w:hAnsi="Arial" w:cs="Arial"/>
                <w:color w:val="454545"/>
                <w:bdr w:val="none" w:sz="0" w:space="0" w:color="auto" w:frame="1"/>
              </w:rPr>
              <w:t>”</w:t>
            </w:r>
          </w:p>
          <w:p w14:paraId="3F4E6778" w14:textId="619E4AEE" w:rsidR="0015422F" w:rsidRDefault="0015422F" w:rsidP="00AB4F7A">
            <w:pPr>
              <w:rPr>
                <w:rFonts w:ascii="Arial" w:hAnsi="Arial" w:cs="Arial"/>
                <w:b/>
                <w:bCs/>
                <w:noProof/>
                <w:color w:val="201F1E"/>
                <w:sz w:val="24"/>
                <w:szCs w:val="24"/>
              </w:rPr>
            </w:pPr>
          </w:p>
        </w:tc>
      </w:tr>
      <w:tr w:rsidR="00EE64A0" w:rsidRPr="00C6033A" w14:paraId="3A897555" w14:textId="77777777" w:rsidTr="00B63F33">
        <w:trPr>
          <w:trHeight w:val="498"/>
        </w:trPr>
        <w:tc>
          <w:tcPr>
            <w:tcW w:w="9791" w:type="dxa"/>
            <w:gridSpan w:val="3"/>
            <w:tcBorders>
              <w:top w:val="nil"/>
              <w:left w:val="nil"/>
              <w:bottom w:val="nil"/>
              <w:right w:val="nil"/>
            </w:tcBorders>
          </w:tcPr>
          <w:p w14:paraId="0059B2D7" w14:textId="77777777" w:rsidR="00EE64A0" w:rsidRPr="00EE64A0" w:rsidRDefault="00EE64A0" w:rsidP="00EE64A0">
            <w:pPr>
              <w:jc w:val="left"/>
              <w:rPr>
                <w:rFonts w:ascii="Arial" w:hAnsi="Arial" w:cs="Arial"/>
                <w:b/>
                <w:bCs/>
                <w:color w:val="0C746A"/>
                <w:sz w:val="24"/>
                <w:szCs w:val="24"/>
                <w:shd w:val="clear" w:color="auto" w:fill="FFFFFF"/>
              </w:rPr>
            </w:pPr>
            <w:r w:rsidRPr="00EE64A0">
              <w:rPr>
                <w:rFonts w:ascii="Arial" w:hAnsi="Arial" w:cs="Arial"/>
                <w:b/>
                <w:bCs/>
                <w:color w:val="0C746A"/>
                <w:sz w:val="24"/>
                <w:szCs w:val="24"/>
                <w:shd w:val="clear" w:color="auto" w:fill="FFFFFF"/>
              </w:rPr>
              <w:lastRenderedPageBreak/>
              <w:t>ITV evening news interview on BRCA genetic testing</w:t>
            </w:r>
          </w:p>
          <w:p w14:paraId="0C2EA193" w14:textId="77777777" w:rsidR="00EE64A0" w:rsidRPr="00EE64A0" w:rsidRDefault="00EE64A0" w:rsidP="00EE64A0">
            <w:pPr>
              <w:jc w:val="left"/>
              <w:rPr>
                <w:rFonts w:ascii="Arial" w:hAnsi="Arial" w:cs="Arial"/>
                <w:color w:val="454545"/>
                <w:sz w:val="24"/>
                <w:szCs w:val="24"/>
                <w:shd w:val="clear" w:color="auto" w:fill="FFFFFF"/>
              </w:rPr>
            </w:pPr>
            <w:r w:rsidRPr="00EE64A0">
              <w:rPr>
                <w:rFonts w:ascii="Arial" w:hAnsi="Arial" w:cs="Arial"/>
                <w:color w:val="454545"/>
                <w:sz w:val="24"/>
                <w:szCs w:val="24"/>
                <w:shd w:val="clear" w:color="auto" w:fill="FFFFFF"/>
              </w:rPr>
              <w:t>23 February (Ranjit Manchanda. Centre for Prevention, Detection and Diagnosis)</w:t>
            </w:r>
          </w:p>
          <w:p w14:paraId="44CAFE45" w14:textId="77777777" w:rsidR="00EE64A0" w:rsidRDefault="00EE64A0" w:rsidP="00AB4F7A">
            <w:pPr>
              <w:rPr>
                <w:rFonts w:ascii="Arial" w:hAnsi="Arial" w:cs="Arial"/>
                <w:b/>
                <w:bCs/>
                <w:noProof/>
                <w:color w:val="201F1E"/>
                <w:sz w:val="24"/>
                <w:szCs w:val="24"/>
              </w:rPr>
            </w:pPr>
          </w:p>
        </w:tc>
      </w:tr>
      <w:tr w:rsidR="00EE64A0" w:rsidRPr="00C6033A" w14:paraId="2B4DDCF4" w14:textId="77777777" w:rsidTr="00CA526E">
        <w:trPr>
          <w:trHeight w:val="498"/>
        </w:trPr>
        <w:tc>
          <w:tcPr>
            <w:tcW w:w="5222" w:type="dxa"/>
            <w:tcBorders>
              <w:top w:val="nil"/>
              <w:left w:val="nil"/>
              <w:bottom w:val="nil"/>
              <w:right w:val="nil"/>
            </w:tcBorders>
          </w:tcPr>
          <w:p w14:paraId="57A6D4DD" w14:textId="77777777" w:rsidR="00EE64A0" w:rsidRPr="00EE64A0" w:rsidRDefault="00EE64A0" w:rsidP="00EE64A0">
            <w:pPr>
              <w:rPr>
                <w:rFonts w:ascii="Arial" w:hAnsi="Arial" w:cs="Arial"/>
                <w:color w:val="454545"/>
                <w:sz w:val="24"/>
                <w:szCs w:val="24"/>
                <w:shd w:val="clear" w:color="auto" w:fill="FFFFFF"/>
              </w:rPr>
            </w:pPr>
            <w:r w:rsidRPr="00EE64A0">
              <w:rPr>
                <w:rFonts w:ascii="Arial" w:hAnsi="Arial" w:cs="Arial"/>
                <w:color w:val="454545"/>
                <w:sz w:val="24"/>
                <w:szCs w:val="24"/>
                <w:shd w:val="clear" w:color="auto" w:fill="FFFFFF"/>
              </w:rPr>
              <w:t>On 23 February Ranjit Manchanda was interviewed on ITV Border news in relation to a story about BRCA genetic testing. He  was asked about the risks associated with the gene, and how testing is carried out, and was also able to explain the implications for women in relation to ovarian cancer, detailing the different surgical options for women who have and have not completed their families.</w:t>
            </w:r>
          </w:p>
          <w:p w14:paraId="6F6A80A5" w14:textId="77777777" w:rsidR="00EE64A0" w:rsidRDefault="00EE64A0" w:rsidP="000A5EBB">
            <w:pPr>
              <w:rPr>
                <w:noProof/>
              </w:rPr>
            </w:pPr>
          </w:p>
        </w:tc>
        <w:tc>
          <w:tcPr>
            <w:tcW w:w="4569" w:type="dxa"/>
            <w:gridSpan w:val="2"/>
            <w:tcBorders>
              <w:top w:val="nil"/>
              <w:left w:val="nil"/>
              <w:bottom w:val="nil"/>
              <w:right w:val="nil"/>
            </w:tcBorders>
          </w:tcPr>
          <w:p w14:paraId="63D63220" w14:textId="56BA1EE3" w:rsidR="00EE64A0" w:rsidRDefault="00CE73F5" w:rsidP="00AB4F7A">
            <w:pPr>
              <w:rPr>
                <w:rFonts w:ascii="Arial" w:hAnsi="Arial" w:cs="Arial"/>
                <w:b/>
                <w:bCs/>
                <w:noProof/>
                <w:color w:val="201F1E"/>
                <w:sz w:val="24"/>
                <w:szCs w:val="24"/>
              </w:rPr>
            </w:pPr>
            <w:r>
              <w:rPr>
                <w:rFonts w:ascii="Arial" w:hAnsi="Arial" w:cs="Arial"/>
                <w:b/>
                <w:bCs/>
                <w:noProof/>
                <w:color w:val="201F1E"/>
                <w:sz w:val="24"/>
                <w:szCs w:val="24"/>
              </w:rPr>
              <w:t xml:space="preserve">    </w:t>
            </w:r>
            <w:r w:rsidR="00EE64A0">
              <w:rPr>
                <w:noProof/>
                <w:lang w:eastAsia="en-GB"/>
              </w:rPr>
              <w:drawing>
                <wp:inline distT="0" distB="0" distL="0" distR="0" wp14:anchorId="296950C5" wp14:editId="5C6EF276">
                  <wp:extent cx="2372480" cy="1669147"/>
                  <wp:effectExtent l="0" t="0" r="8890" b="7620"/>
                  <wp:docPr id="12" name="Picture 12" descr="A person wearing headphones and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earing headphones and a suit and tie&#10;&#10;Description automatically generated with medium confidence"/>
                          <pic:cNvPicPr/>
                        </pic:nvPicPr>
                        <pic:blipFill rotWithShape="1">
                          <a:blip r:embed="rId27"/>
                          <a:srcRect r="20085"/>
                          <a:stretch/>
                        </pic:blipFill>
                        <pic:spPr bwMode="auto">
                          <a:xfrm>
                            <a:off x="0" y="0"/>
                            <a:ext cx="2384557" cy="1677644"/>
                          </a:xfrm>
                          <a:prstGeom prst="rect">
                            <a:avLst/>
                          </a:prstGeom>
                          <a:ln>
                            <a:noFill/>
                          </a:ln>
                          <a:extLst>
                            <a:ext uri="{53640926-AAD7-44D8-BBD7-CCE9431645EC}">
                              <a14:shadowObscured xmlns:a14="http://schemas.microsoft.com/office/drawing/2010/main"/>
                            </a:ext>
                          </a:extLst>
                        </pic:spPr>
                      </pic:pic>
                    </a:graphicData>
                  </a:graphic>
                </wp:inline>
              </w:drawing>
            </w:r>
          </w:p>
        </w:tc>
      </w:tr>
      <w:tr w:rsidR="0018625C" w:rsidRPr="00C6033A" w14:paraId="43E4C197" w14:textId="77777777" w:rsidTr="005B59D1">
        <w:trPr>
          <w:trHeight w:val="498"/>
        </w:trPr>
        <w:tc>
          <w:tcPr>
            <w:tcW w:w="9791" w:type="dxa"/>
            <w:gridSpan w:val="3"/>
            <w:tcBorders>
              <w:top w:val="nil"/>
              <w:left w:val="nil"/>
              <w:bottom w:val="nil"/>
              <w:right w:val="nil"/>
            </w:tcBorders>
          </w:tcPr>
          <w:p w14:paraId="395F2CE4" w14:textId="77777777" w:rsidR="0018625C" w:rsidRDefault="0018625C" w:rsidP="0018625C">
            <w:pPr>
              <w:jc w:val="left"/>
              <w:rPr>
                <w:rFonts w:ascii="Arial" w:hAnsi="Arial" w:cs="Arial"/>
                <w:b/>
                <w:bCs/>
                <w:color w:val="0C746A"/>
                <w:sz w:val="24"/>
                <w:szCs w:val="24"/>
                <w:shd w:val="clear" w:color="auto" w:fill="FFFFFF"/>
              </w:rPr>
            </w:pPr>
          </w:p>
          <w:p w14:paraId="621A915A" w14:textId="1BFFA4BA" w:rsidR="0018625C" w:rsidRPr="0018625C" w:rsidRDefault="0018625C" w:rsidP="0018625C">
            <w:pPr>
              <w:jc w:val="left"/>
              <w:rPr>
                <w:rFonts w:ascii="Arial" w:hAnsi="Arial" w:cs="Arial"/>
                <w:b/>
                <w:bCs/>
                <w:color w:val="0C746A"/>
                <w:sz w:val="24"/>
                <w:szCs w:val="24"/>
                <w:shd w:val="clear" w:color="auto" w:fill="FFFFFF"/>
              </w:rPr>
            </w:pPr>
            <w:r w:rsidRPr="0018625C">
              <w:rPr>
                <w:rFonts w:ascii="Arial" w:hAnsi="Arial" w:cs="Arial"/>
                <w:b/>
                <w:bCs/>
                <w:color w:val="0C746A"/>
                <w:sz w:val="24"/>
                <w:szCs w:val="24"/>
                <w:shd w:val="clear" w:color="auto" w:fill="FFFFFF"/>
              </w:rPr>
              <w:t>All India Institute of Medical Sciences – Infosys Chair in Oncology</w:t>
            </w:r>
          </w:p>
          <w:p w14:paraId="30471512" w14:textId="1DC21304" w:rsidR="0018625C" w:rsidRPr="0018625C" w:rsidRDefault="0018625C" w:rsidP="0018625C">
            <w:pPr>
              <w:jc w:val="left"/>
              <w:rPr>
                <w:rFonts w:ascii="Arial" w:hAnsi="Arial" w:cs="Arial"/>
                <w:color w:val="454545"/>
                <w:sz w:val="24"/>
                <w:szCs w:val="24"/>
                <w:shd w:val="clear" w:color="auto" w:fill="FFFFFF"/>
              </w:rPr>
            </w:pPr>
            <w:r w:rsidRPr="0018625C">
              <w:rPr>
                <w:rFonts w:ascii="Arial" w:hAnsi="Arial" w:cs="Arial"/>
                <w:color w:val="454545"/>
                <w:sz w:val="24"/>
                <w:szCs w:val="24"/>
                <w:shd w:val="clear" w:color="auto" w:fill="FFFFFF"/>
              </w:rPr>
              <w:t>24 February (Ranjit Manchanda</w:t>
            </w:r>
            <w:r w:rsidR="00FD726E">
              <w:rPr>
                <w:rFonts w:ascii="Arial" w:hAnsi="Arial" w:cs="Arial"/>
                <w:color w:val="454545"/>
                <w:sz w:val="24"/>
                <w:szCs w:val="24"/>
                <w:shd w:val="clear" w:color="auto" w:fill="FFFFFF"/>
              </w:rPr>
              <w:t>.</w:t>
            </w:r>
            <w:r w:rsidRPr="0018625C">
              <w:rPr>
                <w:rFonts w:ascii="Arial" w:hAnsi="Arial" w:cs="Arial"/>
                <w:color w:val="454545"/>
                <w:sz w:val="24"/>
                <w:szCs w:val="24"/>
                <w:shd w:val="clear" w:color="auto" w:fill="FFFFFF"/>
              </w:rPr>
              <w:t xml:space="preserve"> Centre for Prevention, Detection and Diagnosis)</w:t>
            </w:r>
          </w:p>
          <w:p w14:paraId="5F511022" w14:textId="7F1AA4DA" w:rsidR="0018625C" w:rsidRDefault="0018625C" w:rsidP="00AB4F7A">
            <w:pPr>
              <w:rPr>
                <w:noProof/>
              </w:rPr>
            </w:pPr>
          </w:p>
        </w:tc>
      </w:tr>
      <w:tr w:rsidR="0018625C" w:rsidRPr="00C6033A" w14:paraId="5C1A9118" w14:textId="77777777" w:rsidTr="00CA526E">
        <w:trPr>
          <w:trHeight w:val="498"/>
        </w:trPr>
        <w:tc>
          <w:tcPr>
            <w:tcW w:w="5222" w:type="dxa"/>
            <w:tcBorders>
              <w:top w:val="nil"/>
              <w:left w:val="nil"/>
              <w:bottom w:val="nil"/>
              <w:right w:val="nil"/>
            </w:tcBorders>
          </w:tcPr>
          <w:p w14:paraId="06181F25" w14:textId="7D7C4AE4" w:rsidR="0018625C" w:rsidRPr="00EE64A0" w:rsidRDefault="0018625C" w:rsidP="00EE64A0">
            <w:pPr>
              <w:rPr>
                <w:rFonts w:ascii="Arial" w:hAnsi="Arial" w:cs="Arial"/>
                <w:color w:val="454545"/>
                <w:sz w:val="24"/>
                <w:szCs w:val="24"/>
                <w:shd w:val="clear" w:color="auto" w:fill="FFFFFF"/>
              </w:rPr>
            </w:pPr>
            <w:r>
              <w:rPr>
                <w:noProof/>
                <w:lang w:eastAsia="en-GB"/>
              </w:rPr>
              <w:drawing>
                <wp:inline distT="0" distB="0" distL="0" distR="0" wp14:anchorId="7E1DF0E0" wp14:editId="58CAB8D7">
                  <wp:extent cx="1502796" cy="1502796"/>
                  <wp:effectExtent l="0" t="0" r="2540" b="2540"/>
                  <wp:docPr id="25" name="Picture 25" descr="All India Institute of Medical Sciences Jodhpur Emble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 India Institute of Medical Sciences Jodhpur Emblem. | Download  Scientific Diagra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2168" cy="1512168"/>
                          </a:xfrm>
                          <a:prstGeom prst="rect">
                            <a:avLst/>
                          </a:prstGeom>
                          <a:noFill/>
                          <a:ln>
                            <a:noFill/>
                          </a:ln>
                        </pic:spPr>
                      </pic:pic>
                    </a:graphicData>
                  </a:graphic>
                </wp:inline>
              </w:drawing>
            </w:r>
            <w:r>
              <w:rPr>
                <w:rFonts w:ascii="Arial" w:hAnsi="Arial" w:cs="Arial"/>
                <w:color w:val="454545"/>
                <w:sz w:val="24"/>
                <w:szCs w:val="24"/>
                <w:shd w:val="clear" w:color="auto" w:fill="FFFFFF"/>
              </w:rPr>
              <w:t xml:space="preserve">   </w:t>
            </w:r>
            <w:r>
              <w:rPr>
                <w:noProof/>
                <w:lang w:eastAsia="en-GB"/>
              </w:rPr>
              <w:drawing>
                <wp:inline distT="0" distB="0" distL="0" distR="0" wp14:anchorId="78093BFA" wp14:editId="5922748D">
                  <wp:extent cx="1226207" cy="1645780"/>
                  <wp:effectExtent l="0" t="0" r="0" b="0"/>
                  <wp:docPr id="24" name="Picture 24" descr="Infosys Foundation India (@Infy_Foundation)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sys Foundation India (@Infy_Foundation) / Twitter"/>
                          <pic:cNvPicPr>
                            <a:picLocks noChangeAspect="1" noChangeArrowheads="1"/>
                          </pic:cNvPicPr>
                        </pic:nvPicPr>
                        <pic:blipFill rotWithShape="1">
                          <a:blip r:embed="rId29">
                            <a:extLst>
                              <a:ext uri="{28A0092B-C50C-407E-A947-70E740481C1C}">
                                <a14:useLocalDpi xmlns:a14="http://schemas.microsoft.com/office/drawing/2010/main" val="0"/>
                              </a:ext>
                            </a:extLst>
                          </a:blip>
                          <a:srcRect l="12961" r="12532"/>
                          <a:stretch/>
                        </pic:blipFill>
                        <pic:spPr bwMode="auto">
                          <a:xfrm>
                            <a:off x="0" y="0"/>
                            <a:ext cx="1227627" cy="16476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9" w:type="dxa"/>
            <w:gridSpan w:val="2"/>
            <w:tcBorders>
              <w:top w:val="nil"/>
              <w:left w:val="nil"/>
              <w:bottom w:val="nil"/>
              <w:right w:val="nil"/>
            </w:tcBorders>
          </w:tcPr>
          <w:p w14:paraId="41FA7EB4" w14:textId="77777777" w:rsidR="0018625C" w:rsidRPr="0018625C" w:rsidRDefault="0018625C" w:rsidP="0018625C">
            <w:pPr>
              <w:rPr>
                <w:rFonts w:ascii="Arial" w:hAnsi="Arial" w:cs="Arial"/>
                <w:color w:val="454545"/>
                <w:sz w:val="24"/>
                <w:szCs w:val="24"/>
                <w:shd w:val="clear" w:color="auto" w:fill="FFFFFF"/>
              </w:rPr>
            </w:pPr>
            <w:r w:rsidRPr="0018625C">
              <w:rPr>
                <w:rFonts w:ascii="Arial" w:hAnsi="Arial" w:cs="Arial"/>
                <w:color w:val="454545"/>
                <w:sz w:val="24"/>
                <w:szCs w:val="24"/>
                <w:shd w:val="clear" w:color="auto" w:fill="FFFFFF"/>
              </w:rPr>
              <w:t>Congratulations to Professor Ranjit Manchanda on being awarded the Infosys Chair in Oncology at the All India Institute of Medical Sciences (AIIMS). AIIMS in New Delhi is India’s leading medical school and institute for medical training, education (including post graduate training), and research.</w:t>
            </w:r>
          </w:p>
          <w:p w14:paraId="77ABA19A" w14:textId="77777777" w:rsidR="0018625C" w:rsidRDefault="0018625C" w:rsidP="00AB4F7A">
            <w:pPr>
              <w:rPr>
                <w:noProof/>
              </w:rPr>
            </w:pPr>
          </w:p>
          <w:p w14:paraId="666F6FA2" w14:textId="2451F834" w:rsidR="0018625C" w:rsidRDefault="0018625C" w:rsidP="00AB4F7A">
            <w:pPr>
              <w:rPr>
                <w:noProof/>
              </w:rPr>
            </w:pPr>
          </w:p>
        </w:tc>
      </w:tr>
      <w:tr w:rsidR="002D764A" w:rsidRPr="00C6033A" w14:paraId="381F1245" w14:textId="77777777" w:rsidTr="00CA526E">
        <w:trPr>
          <w:trHeight w:val="498"/>
        </w:trPr>
        <w:tc>
          <w:tcPr>
            <w:tcW w:w="9791" w:type="dxa"/>
            <w:gridSpan w:val="3"/>
            <w:tcBorders>
              <w:top w:val="nil"/>
              <w:left w:val="nil"/>
              <w:bottom w:val="nil"/>
              <w:right w:val="nil"/>
            </w:tcBorders>
            <w:shd w:val="clear" w:color="auto" w:fill="0C746A"/>
          </w:tcPr>
          <w:p w14:paraId="6BA7EFEF" w14:textId="77777777" w:rsidR="002D764A" w:rsidRDefault="002D764A" w:rsidP="002D764A">
            <w:pPr>
              <w:spacing w:line="300" w:lineRule="atLeast"/>
              <w:jc w:val="left"/>
              <w:rPr>
                <w:rFonts w:ascii="Arial" w:eastAsia="Times New Roman" w:hAnsi="Arial" w:cs="Arial"/>
                <w:color w:val="F2F2F2"/>
                <w:sz w:val="28"/>
                <w:szCs w:val="28"/>
                <w:bdr w:val="none" w:sz="0" w:space="0" w:color="auto" w:frame="1"/>
                <w:lang w:eastAsia="en-GB"/>
              </w:rPr>
            </w:pPr>
          </w:p>
          <w:p w14:paraId="0A911B29" w14:textId="77777777" w:rsidR="002D764A" w:rsidRDefault="002D764A" w:rsidP="002D764A">
            <w:pPr>
              <w:spacing w:line="300" w:lineRule="atLeast"/>
              <w:jc w:val="left"/>
              <w:rPr>
                <w:rFonts w:ascii="Arial" w:eastAsia="Times New Roman" w:hAnsi="Arial" w:cs="Arial"/>
                <w:color w:val="F2F2F2"/>
                <w:sz w:val="28"/>
                <w:szCs w:val="28"/>
                <w:bdr w:val="none" w:sz="0" w:space="0" w:color="auto" w:frame="1"/>
                <w:lang w:eastAsia="en-GB"/>
              </w:rPr>
            </w:pPr>
            <w:r>
              <w:rPr>
                <w:rFonts w:ascii="Arial" w:eastAsia="Times New Roman" w:hAnsi="Arial" w:cs="Arial"/>
                <w:color w:val="F2F2F2"/>
                <w:sz w:val="28"/>
                <w:szCs w:val="28"/>
                <w:bdr w:val="none" w:sz="0" w:space="0" w:color="auto" w:frame="1"/>
                <w:lang w:eastAsia="en-GB"/>
              </w:rPr>
              <w:t>FORTHCOMING EVENTS</w:t>
            </w:r>
          </w:p>
          <w:p w14:paraId="432D338A" w14:textId="24AC8C5A" w:rsidR="002D764A" w:rsidRPr="00CA526E" w:rsidRDefault="002D764A" w:rsidP="002D764A">
            <w:pPr>
              <w:spacing w:line="300" w:lineRule="atLeast"/>
              <w:jc w:val="left"/>
              <w:rPr>
                <w:rFonts w:ascii="Arial" w:eastAsia="Times New Roman" w:hAnsi="Arial" w:cs="Arial"/>
                <w:color w:val="0C746A"/>
                <w:sz w:val="28"/>
                <w:szCs w:val="28"/>
                <w:lang w:eastAsia="en-GB"/>
              </w:rPr>
            </w:pPr>
          </w:p>
        </w:tc>
      </w:tr>
      <w:tr w:rsidR="002D764A" w:rsidRPr="00C6033A" w14:paraId="33AB49F6" w14:textId="77777777" w:rsidTr="00CA526E">
        <w:trPr>
          <w:trHeight w:val="498"/>
        </w:trPr>
        <w:tc>
          <w:tcPr>
            <w:tcW w:w="5222" w:type="dxa"/>
            <w:tcBorders>
              <w:top w:val="nil"/>
              <w:left w:val="nil"/>
              <w:bottom w:val="nil"/>
              <w:right w:val="nil"/>
            </w:tcBorders>
          </w:tcPr>
          <w:p w14:paraId="15D66E29" w14:textId="77777777" w:rsidR="00865F41" w:rsidRDefault="00865F41" w:rsidP="00865F41">
            <w:pPr>
              <w:shd w:val="clear" w:color="auto" w:fill="FFFFFF"/>
              <w:jc w:val="left"/>
              <w:rPr>
                <w:rFonts w:ascii="Arial" w:eastAsia="Times New Roman" w:hAnsi="Arial" w:cs="Arial"/>
                <w:b/>
                <w:bCs/>
                <w:color w:val="0C746A"/>
                <w:sz w:val="24"/>
                <w:szCs w:val="24"/>
                <w:bdr w:val="none" w:sz="0" w:space="0" w:color="auto" w:frame="1"/>
                <w:lang w:eastAsia="en-GB"/>
              </w:rPr>
            </w:pPr>
          </w:p>
          <w:p w14:paraId="3AE5EC93" w14:textId="52FB82D1" w:rsidR="00865F41" w:rsidRPr="00865F41" w:rsidRDefault="00865F41" w:rsidP="00865F41">
            <w:pPr>
              <w:shd w:val="clear" w:color="auto" w:fill="FFFFFF"/>
              <w:jc w:val="left"/>
              <w:rPr>
                <w:rFonts w:ascii="Arial" w:eastAsia="Times New Roman" w:hAnsi="Arial" w:cs="Arial"/>
                <w:b/>
                <w:bCs/>
                <w:color w:val="0C746A"/>
                <w:sz w:val="24"/>
                <w:szCs w:val="24"/>
                <w:bdr w:val="none" w:sz="0" w:space="0" w:color="auto" w:frame="1"/>
                <w:lang w:eastAsia="en-GB"/>
              </w:rPr>
            </w:pPr>
            <w:r w:rsidRPr="00865F41">
              <w:rPr>
                <w:rFonts w:ascii="Arial" w:eastAsia="Times New Roman" w:hAnsi="Arial" w:cs="Arial"/>
                <w:b/>
                <w:bCs/>
                <w:color w:val="0C746A"/>
                <w:sz w:val="24"/>
                <w:szCs w:val="24"/>
                <w:bdr w:val="none" w:sz="0" w:space="0" w:color="auto" w:frame="1"/>
                <w:lang w:eastAsia="en-GB"/>
              </w:rPr>
              <w:t>3 March: Vigil in remembrance of victims of gender-based violence</w:t>
            </w:r>
          </w:p>
          <w:p w14:paraId="21B1A868" w14:textId="77777777" w:rsidR="00865F41" w:rsidRPr="00865F41" w:rsidRDefault="00865F41" w:rsidP="00865F41">
            <w:pPr>
              <w:shd w:val="clear" w:color="auto" w:fill="FFFFFF"/>
              <w:jc w:val="left"/>
              <w:rPr>
                <w:rFonts w:ascii="Arial" w:eastAsia="Times New Roman" w:hAnsi="Arial" w:cs="Arial"/>
                <w:color w:val="454545"/>
                <w:sz w:val="24"/>
                <w:szCs w:val="24"/>
                <w:bdr w:val="none" w:sz="0" w:space="0" w:color="auto" w:frame="1"/>
                <w:lang w:eastAsia="en-GB"/>
              </w:rPr>
            </w:pPr>
          </w:p>
          <w:p w14:paraId="379671ED" w14:textId="77777777" w:rsidR="00865F41" w:rsidRPr="00865F41" w:rsidRDefault="00865F41" w:rsidP="00865F41">
            <w:pPr>
              <w:shd w:val="clear" w:color="auto" w:fill="FFFFFF"/>
              <w:rPr>
                <w:rFonts w:ascii="Calibri" w:eastAsia="Times New Roman" w:hAnsi="Calibri" w:cs="Calibri"/>
                <w:color w:val="454545"/>
                <w:sz w:val="24"/>
                <w:szCs w:val="24"/>
                <w:bdr w:val="none" w:sz="0" w:space="0" w:color="auto" w:frame="1"/>
                <w:lang w:eastAsia="en-GB"/>
              </w:rPr>
            </w:pPr>
            <w:r w:rsidRPr="00865F41">
              <w:rPr>
                <w:rFonts w:ascii="Arial" w:eastAsia="Times New Roman" w:hAnsi="Arial" w:cs="Arial"/>
                <w:color w:val="454545"/>
                <w:sz w:val="24"/>
                <w:szCs w:val="24"/>
                <w:bdr w:val="none" w:sz="0" w:space="0" w:color="auto" w:frame="1"/>
                <w:lang w:eastAsia="en-GB"/>
              </w:rPr>
              <w:t>A vigil to commemorate a year since Sarah Everard's death, and in remembrance for all victims of gender based violence will be held on 3 March. This will be a quiet, contemplative event where attendees can light candles and pay respects to the victims of violence against women. The group will walk from Mile End station at 5pm, to the meet in front of the Garrod Building for 6pm for the vigil. All WIPH staff and friends are invited to attend.</w:t>
            </w:r>
            <w:r w:rsidRPr="00865F41">
              <w:rPr>
                <w:rFonts w:ascii="Calibri" w:eastAsia="Times New Roman" w:hAnsi="Calibri" w:cs="Calibri"/>
                <w:color w:val="454545"/>
                <w:sz w:val="24"/>
                <w:szCs w:val="24"/>
                <w:bdr w:val="none" w:sz="0" w:space="0" w:color="auto" w:frame="1"/>
                <w:lang w:eastAsia="en-GB"/>
              </w:rPr>
              <w:t> </w:t>
            </w:r>
          </w:p>
          <w:p w14:paraId="57E03F66" w14:textId="77777777" w:rsidR="002D764A" w:rsidRPr="00160C97" w:rsidRDefault="002D764A" w:rsidP="000A5EBB">
            <w:pPr>
              <w:jc w:val="left"/>
              <w:rPr>
                <w:rFonts w:ascii="Arial" w:hAnsi="Arial" w:cs="Arial"/>
                <w:color w:val="454545"/>
                <w:shd w:val="clear" w:color="auto" w:fill="FFFFFF"/>
              </w:rPr>
            </w:pPr>
          </w:p>
        </w:tc>
        <w:tc>
          <w:tcPr>
            <w:tcW w:w="4569" w:type="dxa"/>
            <w:gridSpan w:val="2"/>
            <w:tcBorders>
              <w:top w:val="nil"/>
              <w:left w:val="nil"/>
              <w:bottom w:val="nil"/>
              <w:right w:val="nil"/>
            </w:tcBorders>
          </w:tcPr>
          <w:p w14:paraId="538A8E3E" w14:textId="77777777" w:rsidR="002D764A" w:rsidRDefault="002D764A" w:rsidP="002D764A">
            <w:pPr>
              <w:rPr>
                <w:rFonts w:ascii="Arial" w:eastAsia="Times New Roman" w:hAnsi="Arial" w:cs="Arial"/>
                <w:noProof/>
                <w:color w:val="000000"/>
                <w:sz w:val="24"/>
                <w:szCs w:val="24"/>
                <w:lang w:eastAsia="en-GB"/>
              </w:rPr>
            </w:pPr>
          </w:p>
          <w:p w14:paraId="2BF806E9" w14:textId="610E8B0B" w:rsidR="002D764A" w:rsidRDefault="00CE73F5" w:rsidP="002D764A">
            <w:pPr>
              <w:rPr>
                <w:rFonts w:ascii="Arial" w:eastAsia="Times New Roman" w:hAnsi="Arial" w:cs="Arial"/>
                <w:noProof/>
                <w:color w:val="000000"/>
                <w:sz w:val="24"/>
                <w:szCs w:val="24"/>
                <w:lang w:eastAsia="en-GB"/>
              </w:rPr>
            </w:pPr>
            <w:r>
              <w:rPr>
                <w:rFonts w:ascii="Arial" w:eastAsia="Times New Roman" w:hAnsi="Arial" w:cs="Arial"/>
                <w:noProof/>
                <w:color w:val="000000"/>
                <w:sz w:val="24"/>
                <w:szCs w:val="24"/>
                <w:lang w:eastAsia="en-GB"/>
              </w:rPr>
              <w:t xml:space="preserve">   </w:t>
            </w:r>
            <w:r w:rsidR="00865F41">
              <w:rPr>
                <w:noProof/>
                <w:lang w:eastAsia="en-GB"/>
              </w:rPr>
              <w:drawing>
                <wp:inline distT="0" distB="0" distL="0" distR="0" wp14:anchorId="34EEE457" wp14:editId="6859F291">
                  <wp:extent cx="2409245" cy="2409245"/>
                  <wp:effectExtent l="0" t="0" r="0" b="0"/>
                  <wp:docPr id="16" name="Picture 1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4925" cy="2414925"/>
                          </a:xfrm>
                          <a:prstGeom prst="rect">
                            <a:avLst/>
                          </a:prstGeom>
                          <a:noFill/>
                          <a:ln>
                            <a:noFill/>
                          </a:ln>
                        </pic:spPr>
                      </pic:pic>
                    </a:graphicData>
                  </a:graphic>
                </wp:inline>
              </w:drawing>
            </w:r>
          </w:p>
          <w:p w14:paraId="50ED1E2B" w14:textId="06BA1659" w:rsidR="002A176F" w:rsidRPr="00B52D5B" w:rsidRDefault="002A176F" w:rsidP="002D764A">
            <w:pPr>
              <w:rPr>
                <w:rFonts w:ascii="Arial" w:eastAsia="Times New Roman" w:hAnsi="Arial" w:cs="Arial"/>
                <w:noProof/>
                <w:color w:val="000000"/>
                <w:sz w:val="24"/>
                <w:szCs w:val="24"/>
                <w:lang w:eastAsia="en-GB"/>
              </w:rPr>
            </w:pPr>
          </w:p>
        </w:tc>
      </w:tr>
      <w:tr w:rsidR="00E13E4C" w:rsidRPr="00C6033A" w14:paraId="796D0E7B" w14:textId="77777777" w:rsidTr="00CA526E">
        <w:trPr>
          <w:trHeight w:val="498"/>
        </w:trPr>
        <w:tc>
          <w:tcPr>
            <w:tcW w:w="5222" w:type="dxa"/>
            <w:tcBorders>
              <w:top w:val="nil"/>
              <w:left w:val="nil"/>
              <w:bottom w:val="nil"/>
              <w:right w:val="nil"/>
            </w:tcBorders>
          </w:tcPr>
          <w:p w14:paraId="111BE951" w14:textId="77777777" w:rsidR="00865F41" w:rsidRPr="00865F41" w:rsidRDefault="00865F41" w:rsidP="00865F41">
            <w:pPr>
              <w:shd w:val="clear" w:color="auto" w:fill="FFFFFF"/>
              <w:jc w:val="left"/>
              <w:textAlignment w:val="baseline"/>
              <w:rPr>
                <w:rFonts w:ascii="Arial" w:hAnsi="Arial" w:cs="Arial"/>
                <w:b/>
                <w:bCs/>
                <w:color w:val="0C746A"/>
                <w:sz w:val="24"/>
                <w:szCs w:val="24"/>
              </w:rPr>
            </w:pPr>
            <w:r w:rsidRPr="00865F41">
              <w:rPr>
                <w:rFonts w:ascii="Arial" w:hAnsi="Arial" w:cs="Arial"/>
                <w:b/>
                <w:bCs/>
                <w:color w:val="0C746A"/>
                <w:sz w:val="24"/>
                <w:szCs w:val="24"/>
              </w:rPr>
              <w:t>14-20 March Salt Awareness Week</w:t>
            </w:r>
          </w:p>
          <w:p w14:paraId="76D27A1A" w14:textId="77777777" w:rsidR="00865F41" w:rsidRPr="00865F41" w:rsidRDefault="00865F41" w:rsidP="00865F41">
            <w:pPr>
              <w:shd w:val="clear" w:color="auto" w:fill="FFFFFF"/>
              <w:jc w:val="left"/>
              <w:textAlignment w:val="baseline"/>
              <w:rPr>
                <w:rFonts w:ascii="Arial" w:hAnsi="Arial" w:cs="Arial"/>
                <w:color w:val="454545"/>
                <w:sz w:val="24"/>
                <w:szCs w:val="24"/>
              </w:rPr>
            </w:pPr>
          </w:p>
          <w:p w14:paraId="03A321B3" w14:textId="77777777" w:rsidR="00865F41" w:rsidRPr="00865F41" w:rsidRDefault="00865F41" w:rsidP="00865F41">
            <w:pPr>
              <w:shd w:val="clear" w:color="auto" w:fill="FFFFFF"/>
              <w:textAlignment w:val="baseline"/>
              <w:rPr>
                <w:rFonts w:ascii="Arial" w:hAnsi="Arial" w:cs="Arial"/>
                <w:color w:val="454545"/>
                <w:sz w:val="24"/>
                <w:szCs w:val="24"/>
              </w:rPr>
            </w:pPr>
            <w:r w:rsidRPr="00865F41">
              <w:rPr>
                <w:rFonts w:ascii="Arial" w:hAnsi="Arial" w:cs="Arial"/>
                <w:color w:val="454545"/>
                <w:sz w:val="24"/>
                <w:szCs w:val="24"/>
              </w:rPr>
              <w:t xml:space="preserve">The next National </w:t>
            </w:r>
            <w:hyperlink r:id="rId31" w:tgtFrame="_blank" w:history="1">
              <w:r w:rsidRPr="00865F41">
                <w:rPr>
                  <w:rFonts w:ascii="Arial" w:hAnsi="Arial" w:cs="Arial"/>
                  <w:color w:val="454545"/>
                  <w:sz w:val="24"/>
                  <w:szCs w:val="24"/>
                  <w:u w:val="single"/>
                  <w:bdr w:val="none" w:sz="0" w:space="0" w:color="auto" w:frame="1"/>
                </w:rPr>
                <w:t>Salt Awareness Week</w:t>
              </w:r>
            </w:hyperlink>
            <w:r w:rsidRPr="00865F41">
              <w:rPr>
                <w:rFonts w:ascii="Arial" w:hAnsi="Arial" w:cs="Arial"/>
                <w:color w:val="454545"/>
                <w:sz w:val="24"/>
                <w:szCs w:val="24"/>
              </w:rPr>
              <w:t xml:space="preserve"> Campaign will take place 14-20 March 2022, to </w:t>
            </w:r>
            <w:r w:rsidRPr="00865F41">
              <w:rPr>
                <w:rFonts w:ascii="Arial" w:hAnsi="Arial" w:cs="Arial"/>
                <w:color w:val="454545"/>
                <w:sz w:val="24"/>
                <w:szCs w:val="24"/>
              </w:rPr>
              <w:lastRenderedPageBreak/>
              <w:t>shine a spotlight on a simple yet effective approach that will improve our health – asking the food industry to shake their salt habit. Salt reduction policies targeted specifically at the food industry are necessary and proportional: three quarters of the salt the UK eats each day is already in packaged and prepared foods. This cannot be removed by the consumer, so simply telling people to eat less salt will not work when our food is full of it.</w:t>
            </w:r>
          </w:p>
          <w:p w14:paraId="0DBEFA0F" w14:textId="08892B30" w:rsidR="00E13E4C" w:rsidRPr="00E13E4C" w:rsidRDefault="00E13E4C" w:rsidP="00E13E4C">
            <w:pPr>
              <w:rPr>
                <w:rFonts w:ascii="Arial" w:hAnsi="Arial" w:cs="Arial"/>
                <w:color w:val="454545"/>
                <w:sz w:val="24"/>
                <w:szCs w:val="24"/>
              </w:rPr>
            </w:pPr>
          </w:p>
        </w:tc>
        <w:tc>
          <w:tcPr>
            <w:tcW w:w="4569" w:type="dxa"/>
            <w:gridSpan w:val="2"/>
            <w:tcBorders>
              <w:top w:val="nil"/>
              <w:left w:val="nil"/>
              <w:bottom w:val="nil"/>
              <w:right w:val="nil"/>
            </w:tcBorders>
          </w:tcPr>
          <w:p w14:paraId="08563808" w14:textId="77777777" w:rsidR="00865F41" w:rsidRDefault="00865F41" w:rsidP="002D764A">
            <w:pPr>
              <w:rPr>
                <w:rFonts w:ascii="Arial" w:eastAsia="Times New Roman" w:hAnsi="Arial" w:cs="Arial"/>
                <w:noProof/>
                <w:color w:val="000000"/>
                <w:sz w:val="24"/>
                <w:szCs w:val="24"/>
                <w:lang w:eastAsia="en-GB"/>
              </w:rPr>
            </w:pPr>
          </w:p>
          <w:p w14:paraId="728BD4BB" w14:textId="4CDB1E79" w:rsidR="00E13E4C" w:rsidRDefault="00CE73F5" w:rsidP="002D764A">
            <w:pPr>
              <w:rPr>
                <w:rFonts w:ascii="Arial" w:eastAsia="Times New Roman" w:hAnsi="Arial" w:cs="Arial"/>
                <w:noProof/>
                <w:color w:val="000000"/>
                <w:sz w:val="24"/>
                <w:szCs w:val="24"/>
                <w:lang w:eastAsia="en-GB"/>
              </w:rPr>
            </w:pPr>
            <w:r>
              <w:rPr>
                <w:rFonts w:ascii="Arial" w:eastAsia="Times New Roman" w:hAnsi="Arial" w:cs="Arial"/>
                <w:noProof/>
                <w:color w:val="000000"/>
                <w:sz w:val="24"/>
                <w:szCs w:val="24"/>
                <w:lang w:eastAsia="en-GB"/>
              </w:rPr>
              <w:lastRenderedPageBreak/>
              <w:t xml:space="preserve">   </w:t>
            </w:r>
            <w:r w:rsidR="00865F41">
              <w:rPr>
                <w:rFonts w:ascii="Arial" w:eastAsia="Times New Roman" w:hAnsi="Arial" w:cs="Arial"/>
                <w:noProof/>
                <w:color w:val="000000"/>
                <w:sz w:val="24"/>
                <w:szCs w:val="24"/>
                <w:lang w:eastAsia="en-GB"/>
              </w:rPr>
              <w:t xml:space="preserve">   </w:t>
            </w:r>
            <w:r w:rsidR="00865F41">
              <w:rPr>
                <w:noProof/>
                <w:lang w:eastAsia="en-GB"/>
              </w:rPr>
              <w:drawing>
                <wp:inline distT="0" distB="0" distL="0" distR="0" wp14:anchorId="50222FA4" wp14:editId="4A8A91E0">
                  <wp:extent cx="2252318" cy="2252318"/>
                  <wp:effectExtent l="0" t="0" r="0" b="0"/>
                  <wp:docPr id="15" name="Picture 1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0771" cy="2260771"/>
                          </a:xfrm>
                          <a:prstGeom prst="rect">
                            <a:avLst/>
                          </a:prstGeom>
                          <a:noFill/>
                          <a:ln>
                            <a:noFill/>
                          </a:ln>
                        </pic:spPr>
                      </pic:pic>
                    </a:graphicData>
                  </a:graphic>
                </wp:inline>
              </w:drawing>
            </w:r>
          </w:p>
        </w:tc>
      </w:tr>
      <w:tr w:rsidR="002D764A" w:rsidRPr="00C6033A" w14:paraId="797676BA" w14:textId="77777777" w:rsidTr="00CA526E">
        <w:trPr>
          <w:trHeight w:val="607"/>
        </w:trPr>
        <w:tc>
          <w:tcPr>
            <w:tcW w:w="9791" w:type="dxa"/>
            <w:gridSpan w:val="3"/>
            <w:tcBorders>
              <w:top w:val="nil"/>
              <w:left w:val="nil"/>
              <w:bottom w:val="nil"/>
              <w:right w:val="nil"/>
            </w:tcBorders>
          </w:tcPr>
          <w:p w14:paraId="61DE2C19" w14:textId="5E13A0C1" w:rsidR="002D764A" w:rsidRPr="00AA7E7E" w:rsidRDefault="002D764A" w:rsidP="002D764A">
            <w:pPr>
              <w:rPr>
                <w:rFonts w:ascii="Arial" w:hAnsi="Arial" w:cs="Arial"/>
                <w:b/>
                <w:bCs/>
                <w:sz w:val="24"/>
                <w:szCs w:val="24"/>
              </w:rPr>
            </w:pPr>
          </w:p>
          <w:p w14:paraId="0C7C0286" w14:textId="5BB82AED" w:rsidR="002D764A" w:rsidRPr="00AA7E7E" w:rsidRDefault="002D764A" w:rsidP="002D764A">
            <w:pPr>
              <w:rPr>
                <w:rFonts w:ascii="Arial" w:hAnsi="Arial" w:cs="Arial"/>
                <w:b/>
                <w:bCs/>
                <w:color w:val="0C746A"/>
                <w:sz w:val="24"/>
                <w:szCs w:val="24"/>
                <w:u w:val="single"/>
              </w:rPr>
            </w:pPr>
            <w:r w:rsidRPr="00AA7E7E">
              <w:rPr>
                <w:rFonts w:ascii="Arial" w:hAnsi="Arial" w:cs="Arial"/>
                <w:b/>
                <w:bCs/>
                <w:sz w:val="24"/>
                <w:szCs w:val="24"/>
              </w:rPr>
              <w:t>Many thanks to all who so enthusiastically contribute. Please send any news items for the next newsletter to</w:t>
            </w:r>
            <w:r w:rsidRPr="00AA7E7E">
              <w:rPr>
                <w:rFonts w:ascii="Arial" w:hAnsi="Arial" w:cs="Arial"/>
                <w:b/>
                <w:bCs/>
                <w:color w:val="0C746A"/>
                <w:sz w:val="24"/>
                <w:szCs w:val="24"/>
              </w:rPr>
              <w:t xml:space="preserve"> </w:t>
            </w:r>
            <w:hyperlink r:id="rId33" w:history="1">
              <w:r w:rsidRPr="00AA7E7E">
                <w:rPr>
                  <w:rStyle w:val="Hyperlink"/>
                  <w:rFonts w:ascii="Arial" w:hAnsi="Arial" w:cs="Arial"/>
                  <w:b/>
                  <w:bCs/>
                  <w:color w:val="0C746A"/>
                  <w:sz w:val="24"/>
                  <w:szCs w:val="24"/>
                </w:rPr>
                <w:t>j.a.mackie@qmul.ac.uk</w:t>
              </w:r>
            </w:hyperlink>
          </w:p>
          <w:p w14:paraId="2F2354BC" w14:textId="2A6E64A4" w:rsidR="002D764A" w:rsidRPr="00AA7E7E" w:rsidRDefault="002D764A" w:rsidP="002D764A">
            <w:pPr>
              <w:rPr>
                <w:rFonts w:ascii="Arial" w:hAnsi="Arial" w:cs="Arial"/>
                <w:noProof/>
                <w:sz w:val="24"/>
                <w:szCs w:val="24"/>
              </w:rPr>
            </w:pPr>
          </w:p>
        </w:tc>
      </w:tr>
    </w:tbl>
    <w:p w14:paraId="5D6AA8DB" w14:textId="70546002" w:rsidR="006325D9" w:rsidRDefault="006325D9">
      <w:pPr>
        <w:rPr>
          <w:rFonts w:ascii="Arial" w:hAnsi="Arial" w:cs="Arial"/>
          <w:b/>
          <w:bCs/>
          <w:color w:val="0C746A"/>
          <w:sz w:val="32"/>
          <w:szCs w:val="32"/>
          <w:u w:val="single"/>
        </w:rPr>
      </w:pPr>
    </w:p>
    <w:p w14:paraId="1F7FB8D0" w14:textId="77777777" w:rsidR="004378CD" w:rsidRPr="004D0A21" w:rsidRDefault="004378CD">
      <w:pPr>
        <w:rPr>
          <w:rFonts w:ascii="Arial" w:hAnsi="Arial" w:cs="Arial"/>
          <w:b/>
          <w:bCs/>
          <w:color w:val="0C746A"/>
          <w:sz w:val="32"/>
          <w:szCs w:val="32"/>
          <w:u w:val="single"/>
        </w:rPr>
      </w:pPr>
    </w:p>
    <w:sectPr w:rsidR="004378CD" w:rsidRPr="004D0A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E83646" w14:textId="77777777" w:rsidR="00657034" w:rsidRDefault="00657034" w:rsidP="000D7247">
      <w:r>
        <w:separator/>
      </w:r>
    </w:p>
  </w:endnote>
  <w:endnote w:type="continuationSeparator" w:id="0">
    <w:p w14:paraId="5DBA5DA8" w14:textId="77777777" w:rsidR="00657034" w:rsidRDefault="00657034" w:rsidP="000D7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24E1" w14:textId="77777777" w:rsidR="00657034" w:rsidRDefault="00657034" w:rsidP="000D7247">
      <w:r>
        <w:separator/>
      </w:r>
    </w:p>
  </w:footnote>
  <w:footnote w:type="continuationSeparator" w:id="0">
    <w:p w14:paraId="46A5B137" w14:textId="77777777" w:rsidR="00657034" w:rsidRDefault="00657034" w:rsidP="000D72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495498"/>
    <w:multiLevelType w:val="hybridMultilevel"/>
    <w:tmpl w:val="1F984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4B7"/>
    <w:rsid w:val="00000FAB"/>
    <w:rsid w:val="00000FBE"/>
    <w:rsid w:val="00001649"/>
    <w:rsid w:val="00004F6D"/>
    <w:rsid w:val="000062F6"/>
    <w:rsid w:val="00007411"/>
    <w:rsid w:val="000076A2"/>
    <w:rsid w:val="00007E93"/>
    <w:rsid w:val="0001023A"/>
    <w:rsid w:val="00011324"/>
    <w:rsid w:val="00012079"/>
    <w:rsid w:val="000123D7"/>
    <w:rsid w:val="00013635"/>
    <w:rsid w:val="00014D6F"/>
    <w:rsid w:val="000167B5"/>
    <w:rsid w:val="00020342"/>
    <w:rsid w:val="00020D98"/>
    <w:rsid w:val="0002119D"/>
    <w:rsid w:val="0002406F"/>
    <w:rsid w:val="000265AF"/>
    <w:rsid w:val="00026A97"/>
    <w:rsid w:val="0002718D"/>
    <w:rsid w:val="000317E4"/>
    <w:rsid w:val="00032EC2"/>
    <w:rsid w:val="00033157"/>
    <w:rsid w:val="00034B61"/>
    <w:rsid w:val="00034E40"/>
    <w:rsid w:val="00035F94"/>
    <w:rsid w:val="0003628B"/>
    <w:rsid w:val="000366F7"/>
    <w:rsid w:val="00037671"/>
    <w:rsid w:val="0004040B"/>
    <w:rsid w:val="00041241"/>
    <w:rsid w:val="000417A1"/>
    <w:rsid w:val="00042C2A"/>
    <w:rsid w:val="00044C78"/>
    <w:rsid w:val="00045179"/>
    <w:rsid w:val="000477AA"/>
    <w:rsid w:val="000516E1"/>
    <w:rsid w:val="0005243A"/>
    <w:rsid w:val="000525E1"/>
    <w:rsid w:val="00053ED7"/>
    <w:rsid w:val="00054B22"/>
    <w:rsid w:val="0005586B"/>
    <w:rsid w:val="00056E4E"/>
    <w:rsid w:val="000573B1"/>
    <w:rsid w:val="00057BE7"/>
    <w:rsid w:val="00060426"/>
    <w:rsid w:val="00066CB7"/>
    <w:rsid w:val="00066DB1"/>
    <w:rsid w:val="00066DFC"/>
    <w:rsid w:val="0007162D"/>
    <w:rsid w:val="00072E7F"/>
    <w:rsid w:val="00073758"/>
    <w:rsid w:val="000748BD"/>
    <w:rsid w:val="00074CBF"/>
    <w:rsid w:val="00076206"/>
    <w:rsid w:val="0008040E"/>
    <w:rsid w:val="000827F9"/>
    <w:rsid w:val="000863AD"/>
    <w:rsid w:val="00086B9E"/>
    <w:rsid w:val="000872CB"/>
    <w:rsid w:val="00090DD7"/>
    <w:rsid w:val="00091CD8"/>
    <w:rsid w:val="000921FA"/>
    <w:rsid w:val="000946A2"/>
    <w:rsid w:val="000949FB"/>
    <w:rsid w:val="00096157"/>
    <w:rsid w:val="000A0027"/>
    <w:rsid w:val="000A01A2"/>
    <w:rsid w:val="000A0D22"/>
    <w:rsid w:val="000A117F"/>
    <w:rsid w:val="000A2469"/>
    <w:rsid w:val="000A3C9D"/>
    <w:rsid w:val="000A4424"/>
    <w:rsid w:val="000A5595"/>
    <w:rsid w:val="000A5EBB"/>
    <w:rsid w:val="000A7298"/>
    <w:rsid w:val="000B12AF"/>
    <w:rsid w:val="000B139C"/>
    <w:rsid w:val="000B1A22"/>
    <w:rsid w:val="000B2BD7"/>
    <w:rsid w:val="000B2C61"/>
    <w:rsid w:val="000B5A70"/>
    <w:rsid w:val="000B66D2"/>
    <w:rsid w:val="000C034D"/>
    <w:rsid w:val="000C1923"/>
    <w:rsid w:val="000C46CF"/>
    <w:rsid w:val="000C6FF8"/>
    <w:rsid w:val="000C7279"/>
    <w:rsid w:val="000C7520"/>
    <w:rsid w:val="000D3FFE"/>
    <w:rsid w:val="000D44A4"/>
    <w:rsid w:val="000D5498"/>
    <w:rsid w:val="000D6105"/>
    <w:rsid w:val="000D65C2"/>
    <w:rsid w:val="000D7247"/>
    <w:rsid w:val="000E1BF8"/>
    <w:rsid w:val="000E1FC5"/>
    <w:rsid w:val="000E4593"/>
    <w:rsid w:val="000E46A7"/>
    <w:rsid w:val="000E6A37"/>
    <w:rsid w:val="000E7F5D"/>
    <w:rsid w:val="000F2448"/>
    <w:rsid w:val="000F26DD"/>
    <w:rsid w:val="000F3C6C"/>
    <w:rsid w:val="000F52AF"/>
    <w:rsid w:val="000F53F1"/>
    <w:rsid w:val="000F7252"/>
    <w:rsid w:val="00100E9A"/>
    <w:rsid w:val="00103047"/>
    <w:rsid w:val="00103310"/>
    <w:rsid w:val="00104EDC"/>
    <w:rsid w:val="0010514F"/>
    <w:rsid w:val="00107D02"/>
    <w:rsid w:val="001101B8"/>
    <w:rsid w:val="001112FC"/>
    <w:rsid w:val="00111BF7"/>
    <w:rsid w:val="00112283"/>
    <w:rsid w:val="001125A9"/>
    <w:rsid w:val="0011260A"/>
    <w:rsid w:val="00112A28"/>
    <w:rsid w:val="00113BA9"/>
    <w:rsid w:val="00113F29"/>
    <w:rsid w:val="00114E12"/>
    <w:rsid w:val="00115ED4"/>
    <w:rsid w:val="00116C6A"/>
    <w:rsid w:val="00116E83"/>
    <w:rsid w:val="00116F53"/>
    <w:rsid w:val="001179F7"/>
    <w:rsid w:val="00117ABA"/>
    <w:rsid w:val="00120560"/>
    <w:rsid w:val="0012314F"/>
    <w:rsid w:val="00123316"/>
    <w:rsid w:val="00126A8F"/>
    <w:rsid w:val="00126B5A"/>
    <w:rsid w:val="001326AD"/>
    <w:rsid w:val="00135A46"/>
    <w:rsid w:val="001403FE"/>
    <w:rsid w:val="00141698"/>
    <w:rsid w:val="00141886"/>
    <w:rsid w:val="00142A37"/>
    <w:rsid w:val="00143CB4"/>
    <w:rsid w:val="001446DC"/>
    <w:rsid w:val="001462FA"/>
    <w:rsid w:val="00146CDA"/>
    <w:rsid w:val="00151A7D"/>
    <w:rsid w:val="0015422F"/>
    <w:rsid w:val="001548B8"/>
    <w:rsid w:val="00154B80"/>
    <w:rsid w:val="00154DA8"/>
    <w:rsid w:val="0015590F"/>
    <w:rsid w:val="001566B4"/>
    <w:rsid w:val="0015789C"/>
    <w:rsid w:val="00160962"/>
    <w:rsid w:val="00160B62"/>
    <w:rsid w:val="00163EDF"/>
    <w:rsid w:val="001644E5"/>
    <w:rsid w:val="00164D29"/>
    <w:rsid w:val="0016729E"/>
    <w:rsid w:val="00170BCD"/>
    <w:rsid w:val="0017101B"/>
    <w:rsid w:val="001710CA"/>
    <w:rsid w:val="001711AF"/>
    <w:rsid w:val="00172D0F"/>
    <w:rsid w:val="0017594B"/>
    <w:rsid w:val="0017631B"/>
    <w:rsid w:val="00176B56"/>
    <w:rsid w:val="00177167"/>
    <w:rsid w:val="001779DB"/>
    <w:rsid w:val="001802D0"/>
    <w:rsid w:val="00181896"/>
    <w:rsid w:val="0018625C"/>
    <w:rsid w:val="001910C0"/>
    <w:rsid w:val="00193529"/>
    <w:rsid w:val="0019555D"/>
    <w:rsid w:val="00196ABD"/>
    <w:rsid w:val="001A1A92"/>
    <w:rsid w:val="001A48A6"/>
    <w:rsid w:val="001A500B"/>
    <w:rsid w:val="001A50E8"/>
    <w:rsid w:val="001B07C9"/>
    <w:rsid w:val="001B18C6"/>
    <w:rsid w:val="001B2CC1"/>
    <w:rsid w:val="001B6BA0"/>
    <w:rsid w:val="001C0589"/>
    <w:rsid w:val="001C12FC"/>
    <w:rsid w:val="001C298B"/>
    <w:rsid w:val="001C375E"/>
    <w:rsid w:val="001C59F1"/>
    <w:rsid w:val="001C5C45"/>
    <w:rsid w:val="001C6A9C"/>
    <w:rsid w:val="001D1D64"/>
    <w:rsid w:val="001D234D"/>
    <w:rsid w:val="001D2A05"/>
    <w:rsid w:val="001D373E"/>
    <w:rsid w:val="001D5D62"/>
    <w:rsid w:val="001D5D7A"/>
    <w:rsid w:val="001D72E5"/>
    <w:rsid w:val="001E1113"/>
    <w:rsid w:val="001E25A3"/>
    <w:rsid w:val="001E4344"/>
    <w:rsid w:val="001E54B4"/>
    <w:rsid w:val="001E560C"/>
    <w:rsid w:val="001E5B3A"/>
    <w:rsid w:val="001F48C6"/>
    <w:rsid w:val="001F4B6F"/>
    <w:rsid w:val="001F5F14"/>
    <w:rsid w:val="001F65E1"/>
    <w:rsid w:val="00200140"/>
    <w:rsid w:val="0020097F"/>
    <w:rsid w:val="00202CF9"/>
    <w:rsid w:val="00203794"/>
    <w:rsid w:val="002040B1"/>
    <w:rsid w:val="002053E7"/>
    <w:rsid w:val="00206B91"/>
    <w:rsid w:val="00216486"/>
    <w:rsid w:val="002165A7"/>
    <w:rsid w:val="00216AB8"/>
    <w:rsid w:val="002177A6"/>
    <w:rsid w:val="002230FC"/>
    <w:rsid w:val="00223700"/>
    <w:rsid w:val="00223EA4"/>
    <w:rsid w:val="0022724F"/>
    <w:rsid w:val="00227957"/>
    <w:rsid w:val="00230D18"/>
    <w:rsid w:val="00235CDE"/>
    <w:rsid w:val="00236C76"/>
    <w:rsid w:val="00237682"/>
    <w:rsid w:val="0024026F"/>
    <w:rsid w:val="00240999"/>
    <w:rsid w:val="002449D4"/>
    <w:rsid w:val="00245B0F"/>
    <w:rsid w:val="002471DD"/>
    <w:rsid w:val="002522AA"/>
    <w:rsid w:val="00252418"/>
    <w:rsid w:val="00254EA6"/>
    <w:rsid w:val="002579F1"/>
    <w:rsid w:val="002602CD"/>
    <w:rsid w:val="002605F5"/>
    <w:rsid w:val="00261262"/>
    <w:rsid w:val="00261547"/>
    <w:rsid w:val="002615C3"/>
    <w:rsid w:val="00261C10"/>
    <w:rsid w:val="002679CF"/>
    <w:rsid w:val="00267A02"/>
    <w:rsid w:val="00270F12"/>
    <w:rsid w:val="002710C8"/>
    <w:rsid w:val="002723BB"/>
    <w:rsid w:val="00272F25"/>
    <w:rsid w:val="002739BB"/>
    <w:rsid w:val="002740DC"/>
    <w:rsid w:val="002755C0"/>
    <w:rsid w:val="002760CA"/>
    <w:rsid w:val="002766B3"/>
    <w:rsid w:val="00277260"/>
    <w:rsid w:val="00277768"/>
    <w:rsid w:val="00280326"/>
    <w:rsid w:val="00280876"/>
    <w:rsid w:val="00280A2F"/>
    <w:rsid w:val="00280C38"/>
    <w:rsid w:val="00280D15"/>
    <w:rsid w:val="00281921"/>
    <w:rsid w:val="00281CC7"/>
    <w:rsid w:val="002857E1"/>
    <w:rsid w:val="00285D03"/>
    <w:rsid w:val="0028628C"/>
    <w:rsid w:val="0028636B"/>
    <w:rsid w:val="002920F9"/>
    <w:rsid w:val="002928E5"/>
    <w:rsid w:val="00292978"/>
    <w:rsid w:val="002941D1"/>
    <w:rsid w:val="00295907"/>
    <w:rsid w:val="002968C2"/>
    <w:rsid w:val="00297938"/>
    <w:rsid w:val="002A1681"/>
    <w:rsid w:val="002A176F"/>
    <w:rsid w:val="002A1D99"/>
    <w:rsid w:val="002A48A5"/>
    <w:rsid w:val="002A4B9D"/>
    <w:rsid w:val="002A4FC8"/>
    <w:rsid w:val="002A5C4C"/>
    <w:rsid w:val="002A61D5"/>
    <w:rsid w:val="002A6C08"/>
    <w:rsid w:val="002A76F1"/>
    <w:rsid w:val="002B122F"/>
    <w:rsid w:val="002B1DBD"/>
    <w:rsid w:val="002B2514"/>
    <w:rsid w:val="002B31B3"/>
    <w:rsid w:val="002B3CF7"/>
    <w:rsid w:val="002B5010"/>
    <w:rsid w:val="002B75E7"/>
    <w:rsid w:val="002C03FE"/>
    <w:rsid w:val="002C26BC"/>
    <w:rsid w:val="002C3347"/>
    <w:rsid w:val="002C3B3E"/>
    <w:rsid w:val="002C4445"/>
    <w:rsid w:val="002C4882"/>
    <w:rsid w:val="002C63AA"/>
    <w:rsid w:val="002C68BA"/>
    <w:rsid w:val="002C6F67"/>
    <w:rsid w:val="002D01C6"/>
    <w:rsid w:val="002D076C"/>
    <w:rsid w:val="002D09D4"/>
    <w:rsid w:val="002D1A26"/>
    <w:rsid w:val="002D2BA4"/>
    <w:rsid w:val="002D6CA5"/>
    <w:rsid w:val="002D764A"/>
    <w:rsid w:val="002E18D1"/>
    <w:rsid w:val="002E3024"/>
    <w:rsid w:val="002E3317"/>
    <w:rsid w:val="002E3CD2"/>
    <w:rsid w:val="002E3DA0"/>
    <w:rsid w:val="002E46DA"/>
    <w:rsid w:val="002E5DA6"/>
    <w:rsid w:val="002E6316"/>
    <w:rsid w:val="002E744D"/>
    <w:rsid w:val="002F0980"/>
    <w:rsid w:val="002F2582"/>
    <w:rsid w:val="002F39F8"/>
    <w:rsid w:val="002F4F62"/>
    <w:rsid w:val="002F521D"/>
    <w:rsid w:val="002F5D6D"/>
    <w:rsid w:val="002F5DA2"/>
    <w:rsid w:val="003002AF"/>
    <w:rsid w:val="00300DE0"/>
    <w:rsid w:val="003013ED"/>
    <w:rsid w:val="0030188D"/>
    <w:rsid w:val="00301FA7"/>
    <w:rsid w:val="003020CB"/>
    <w:rsid w:val="0030250D"/>
    <w:rsid w:val="0030339E"/>
    <w:rsid w:val="00304687"/>
    <w:rsid w:val="00304B6C"/>
    <w:rsid w:val="00305E16"/>
    <w:rsid w:val="00310407"/>
    <w:rsid w:val="003122C5"/>
    <w:rsid w:val="003166B8"/>
    <w:rsid w:val="00316A83"/>
    <w:rsid w:val="00316C0E"/>
    <w:rsid w:val="003176BF"/>
    <w:rsid w:val="00317E31"/>
    <w:rsid w:val="00317FE3"/>
    <w:rsid w:val="003207C5"/>
    <w:rsid w:val="00321D32"/>
    <w:rsid w:val="003244E1"/>
    <w:rsid w:val="0032465B"/>
    <w:rsid w:val="003274D5"/>
    <w:rsid w:val="00327512"/>
    <w:rsid w:val="00327FFD"/>
    <w:rsid w:val="0033201C"/>
    <w:rsid w:val="0033256E"/>
    <w:rsid w:val="00333B96"/>
    <w:rsid w:val="003370E7"/>
    <w:rsid w:val="00341A0C"/>
    <w:rsid w:val="00341CD3"/>
    <w:rsid w:val="00342AF3"/>
    <w:rsid w:val="00344379"/>
    <w:rsid w:val="00345619"/>
    <w:rsid w:val="00346914"/>
    <w:rsid w:val="00346FE9"/>
    <w:rsid w:val="00347622"/>
    <w:rsid w:val="00351390"/>
    <w:rsid w:val="00353A99"/>
    <w:rsid w:val="00353F02"/>
    <w:rsid w:val="00355AC6"/>
    <w:rsid w:val="0036093C"/>
    <w:rsid w:val="00361F12"/>
    <w:rsid w:val="003633C7"/>
    <w:rsid w:val="00363B06"/>
    <w:rsid w:val="00363D87"/>
    <w:rsid w:val="00363DE1"/>
    <w:rsid w:val="00370099"/>
    <w:rsid w:val="00372320"/>
    <w:rsid w:val="003738E7"/>
    <w:rsid w:val="00375769"/>
    <w:rsid w:val="00375CCD"/>
    <w:rsid w:val="00383360"/>
    <w:rsid w:val="0038430C"/>
    <w:rsid w:val="0038468B"/>
    <w:rsid w:val="00385B50"/>
    <w:rsid w:val="00386991"/>
    <w:rsid w:val="00391093"/>
    <w:rsid w:val="0039194A"/>
    <w:rsid w:val="003969ED"/>
    <w:rsid w:val="0039763C"/>
    <w:rsid w:val="003A0C62"/>
    <w:rsid w:val="003A11F3"/>
    <w:rsid w:val="003A26C5"/>
    <w:rsid w:val="003A3BEC"/>
    <w:rsid w:val="003B3AB3"/>
    <w:rsid w:val="003B3D3F"/>
    <w:rsid w:val="003B57DA"/>
    <w:rsid w:val="003B5C8A"/>
    <w:rsid w:val="003B6CE3"/>
    <w:rsid w:val="003B75DA"/>
    <w:rsid w:val="003C0CF8"/>
    <w:rsid w:val="003C3769"/>
    <w:rsid w:val="003D0FF8"/>
    <w:rsid w:val="003D109D"/>
    <w:rsid w:val="003D1820"/>
    <w:rsid w:val="003D27AA"/>
    <w:rsid w:val="003D349F"/>
    <w:rsid w:val="003D3514"/>
    <w:rsid w:val="003D547B"/>
    <w:rsid w:val="003D633F"/>
    <w:rsid w:val="003E1092"/>
    <w:rsid w:val="003E1FCC"/>
    <w:rsid w:val="003E3996"/>
    <w:rsid w:val="003E44BB"/>
    <w:rsid w:val="003E5E08"/>
    <w:rsid w:val="003E5FB5"/>
    <w:rsid w:val="003E6751"/>
    <w:rsid w:val="003E7019"/>
    <w:rsid w:val="003F01E2"/>
    <w:rsid w:val="003F0F2B"/>
    <w:rsid w:val="003F1724"/>
    <w:rsid w:val="003F3D0B"/>
    <w:rsid w:val="003F4CE9"/>
    <w:rsid w:val="003F6596"/>
    <w:rsid w:val="003F76E7"/>
    <w:rsid w:val="003F7811"/>
    <w:rsid w:val="004025E1"/>
    <w:rsid w:val="004029ED"/>
    <w:rsid w:val="004053DF"/>
    <w:rsid w:val="00405DC6"/>
    <w:rsid w:val="00406046"/>
    <w:rsid w:val="004063B3"/>
    <w:rsid w:val="004074E3"/>
    <w:rsid w:val="00411365"/>
    <w:rsid w:val="00411B45"/>
    <w:rsid w:val="00412078"/>
    <w:rsid w:val="00412B4B"/>
    <w:rsid w:val="00414A16"/>
    <w:rsid w:val="00415407"/>
    <w:rsid w:val="00415CE8"/>
    <w:rsid w:val="0041789E"/>
    <w:rsid w:val="00420BB5"/>
    <w:rsid w:val="00422217"/>
    <w:rsid w:val="004234A8"/>
    <w:rsid w:val="00423B65"/>
    <w:rsid w:val="00424C2A"/>
    <w:rsid w:val="00426BFE"/>
    <w:rsid w:val="00427F73"/>
    <w:rsid w:val="00430443"/>
    <w:rsid w:val="00431224"/>
    <w:rsid w:val="0043258C"/>
    <w:rsid w:val="00433A83"/>
    <w:rsid w:val="00436560"/>
    <w:rsid w:val="004378CD"/>
    <w:rsid w:val="004412C4"/>
    <w:rsid w:val="00441A0F"/>
    <w:rsid w:val="00441A8F"/>
    <w:rsid w:val="00442DFB"/>
    <w:rsid w:val="004432B4"/>
    <w:rsid w:val="00445BAB"/>
    <w:rsid w:val="004463F9"/>
    <w:rsid w:val="0044694C"/>
    <w:rsid w:val="00446F9B"/>
    <w:rsid w:val="00450757"/>
    <w:rsid w:val="00450A7F"/>
    <w:rsid w:val="00450AE5"/>
    <w:rsid w:val="00451082"/>
    <w:rsid w:val="00452D28"/>
    <w:rsid w:val="00453A78"/>
    <w:rsid w:val="00454035"/>
    <w:rsid w:val="004555B7"/>
    <w:rsid w:val="00461DA6"/>
    <w:rsid w:val="004641DD"/>
    <w:rsid w:val="004643EB"/>
    <w:rsid w:val="004655B8"/>
    <w:rsid w:val="004666B4"/>
    <w:rsid w:val="004667D5"/>
    <w:rsid w:val="00466A14"/>
    <w:rsid w:val="004676FB"/>
    <w:rsid w:val="0047292F"/>
    <w:rsid w:val="00472B19"/>
    <w:rsid w:val="00473B8C"/>
    <w:rsid w:val="00474913"/>
    <w:rsid w:val="00476BD3"/>
    <w:rsid w:val="0048131A"/>
    <w:rsid w:val="00483C83"/>
    <w:rsid w:val="00483D88"/>
    <w:rsid w:val="0048437D"/>
    <w:rsid w:val="00484A3A"/>
    <w:rsid w:val="00484C75"/>
    <w:rsid w:val="004853B2"/>
    <w:rsid w:val="00485901"/>
    <w:rsid w:val="00486A3A"/>
    <w:rsid w:val="00487694"/>
    <w:rsid w:val="0049350B"/>
    <w:rsid w:val="00493E48"/>
    <w:rsid w:val="00494A0B"/>
    <w:rsid w:val="00494C33"/>
    <w:rsid w:val="00495030"/>
    <w:rsid w:val="004958FA"/>
    <w:rsid w:val="004968BD"/>
    <w:rsid w:val="004A34EA"/>
    <w:rsid w:val="004A4DB1"/>
    <w:rsid w:val="004A5E8C"/>
    <w:rsid w:val="004A6E77"/>
    <w:rsid w:val="004A6EB7"/>
    <w:rsid w:val="004B1084"/>
    <w:rsid w:val="004B32A9"/>
    <w:rsid w:val="004B410D"/>
    <w:rsid w:val="004B4611"/>
    <w:rsid w:val="004B4E7A"/>
    <w:rsid w:val="004B503F"/>
    <w:rsid w:val="004B5556"/>
    <w:rsid w:val="004B61E1"/>
    <w:rsid w:val="004B64EE"/>
    <w:rsid w:val="004B764F"/>
    <w:rsid w:val="004B767C"/>
    <w:rsid w:val="004C01E7"/>
    <w:rsid w:val="004C3B77"/>
    <w:rsid w:val="004C5FAB"/>
    <w:rsid w:val="004C6245"/>
    <w:rsid w:val="004C7086"/>
    <w:rsid w:val="004C721D"/>
    <w:rsid w:val="004D04D0"/>
    <w:rsid w:val="004D0A21"/>
    <w:rsid w:val="004D0CA2"/>
    <w:rsid w:val="004D2773"/>
    <w:rsid w:val="004D3673"/>
    <w:rsid w:val="004D4921"/>
    <w:rsid w:val="004D73B7"/>
    <w:rsid w:val="004E0867"/>
    <w:rsid w:val="004E1857"/>
    <w:rsid w:val="004E1873"/>
    <w:rsid w:val="004E1904"/>
    <w:rsid w:val="004E2A54"/>
    <w:rsid w:val="004E2CAC"/>
    <w:rsid w:val="004E645D"/>
    <w:rsid w:val="004E7651"/>
    <w:rsid w:val="004F071A"/>
    <w:rsid w:val="004F1D9B"/>
    <w:rsid w:val="004F1EC8"/>
    <w:rsid w:val="004F450D"/>
    <w:rsid w:val="00501E96"/>
    <w:rsid w:val="005115BC"/>
    <w:rsid w:val="005118C5"/>
    <w:rsid w:val="0051380A"/>
    <w:rsid w:val="00513CBD"/>
    <w:rsid w:val="00514914"/>
    <w:rsid w:val="0051707B"/>
    <w:rsid w:val="0052344A"/>
    <w:rsid w:val="00523890"/>
    <w:rsid w:val="00523B79"/>
    <w:rsid w:val="00524D6C"/>
    <w:rsid w:val="005253AA"/>
    <w:rsid w:val="0052700E"/>
    <w:rsid w:val="00530B04"/>
    <w:rsid w:val="005333EE"/>
    <w:rsid w:val="00533CC9"/>
    <w:rsid w:val="005363FB"/>
    <w:rsid w:val="00541260"/>
    <w:rsid w:val="0054231C"/>
    <w:rsid w:val="0054239F"/>
    <w:rsid w:val="005472E8"/>
    <w:rsid w:val="0054746A"/>
    <w:rsid w:val="005518B7"/>
    <w:rsid w:val="00551E3F"/>
    <w:rsid w:val="0055220B"/>
    <w:rsid w:val="0055311B"/>
    <w:rsid w:val="005555B0"/>
    <w:rsid w:val="00555B2E"/>
    <w:rsid w:val="00556FF2"/>
    <w:rsid w:val="00560B73"/>
    <w:rsid w:val="00560E10"/>
    <w:rsid w:val="005623B7"/>
    <w:rsid w:val="00564C6A"/>
    <w:rsid w:val="0056558B"/>
    <w:rsid w:val="0056649F"/>
    <w:rsid w:val="00570003"/>
    <w:rsid w:val="005710DE"/>
    <w:rsid w:val="00571B98"/>
    <w:rsid w:val="00572431"/>
    <w:rsid w:val="00574D70"/>
    <w:rsid w:val="00574F4C"/>
    <w:rsid w:val="00575751"/>
    <w:rsid w:val="005759A4"/>
    <w:rsid w:val="0057731C"/>
    <w:rsid w:val="0058023D"/>
    <w:rsid w:val="0058230A"/>
    <w:rsid w:val="00583B7E"/>
    <w:rsid w:val="00584CCF"/>
    <w:rsid w:val="00585214"/>
    <w:rsid w:val="00591627"/>
    <w:rsid w:val="00592B8F"/>
    <w:rsid w:val="005934DC"/>
    <w:rsid w:val="0059562D"/>
    <w:rsid w:val="00595850"/>
    <w:rsid w:val="00595DA9"/>
    <w:rsid w:val="005971B4"/>
    <w:rsid w:val="005A0372"/>
    <w:rsid w:val="005A2270"/>
    <w:rsid w:val="005A2CC2"/>
    <w:rsid w:val="005A37C6"/>
    <w:rsid w:val="005A56B8"/>
    <w:rsid w:val="005A5ED0"/>
    <w:rsid w:val="005A66A5"/>
    <w:rsid w:val="005B0B8E"/>
    <w:rsid w:val="005B2919"/>
    <w:rsid w:val="005B2F8C"/>
    <w:rsid w:val="005B492A"/>
    <w:rsid w:val="005B559A"/>
    <w:rsid w:val="005B7EEA"/>
    <w:rsid w:val="005C2DCB"/>
    <w:rsid w:val="005C61C1"/>
    <w:rsid w:val="005C6D3C"/>
    <w:rsid w:val="005D06B9"/>
    <w:rsid w:val="005D298D"/>
    <w:rsid w:val="005D375F"/>
    <w:rsid w:val="005D43E1"/>
    <w:rsid w:val="005D5AAD"/>
    <w:rsid w:val="005E5738"/>
    <w:rsid w:val="005E5870"/>
    <w:rsid w:val="005E7E87"/>
    <w:rsid w:val="005F0BFD"/>
    <w:rsid w:val="005F3174"/>
    <w:rsid w:val="005F5441"/>
    <w:rsid w:val="005F5A25"/>
    <w:rsid w:val="005F6DA3"/>
    <w:rsid w:val="005F7A76"/>
    <w:rsid w:val="0060001B"/>
    <w:rsid w:val="006005B8"/>
    <w:rsid w:val="006013B3"/>
    <w:rsid w:val="00601BD8"/>
    <w:rsid w:val="0060339A"/>
    <w:rsid w:val="006037AD"/>
    <w:rsid w:val="00603F68"/>
    <w:rsid w:val="00606487"/>
    <w:rsid w:val="00606CB0"/>
    <w:rsid w:val="00614AC4"/>
    <w:rsid w:val="0061774B"/>
    <w:rsid w:val="00621EB1"/>
    <w:rsid w:val="00622B71"/>
    <w:rsid w:val="006233DD"/>
    <w:rsid w:val="00623AD1"/>
    <w:rsid w:val="00627E8C"/>
    <w:rsid w:val="00630320"/>
    <w:rsid w:val="00631AED"/>
    <w:rsid w:val="006322A6"/>
    <w:rsid w:val="0063246B"/>
    <w:rsid w:val="006325D9"/>
    <w:rsid w:val="00633716"/>
    <w:rsid w:val="006338D9"/>
    <w:rsid w:val="00636C20"/>
    <w:rsid w:val="0063700D"/>
    <w:rsid w:val="00641CCC"/>
    <w:rsid w:val="00641FF6"/>
    <w:rsid w:val="00642738"/>
    <w:rsid w:val="00642740"/>
    <w:rsid w:val="0064447D"/>
    <w:rsid w:val="00644D47"/>
    <w:rsid w:val="006451DD"/>
    <w:rsid w:val="00645C37"/>
    <w:rsid w:val="006473C4"/>
    <w:rsid w:val="006476A2"/>
    <w:rsid w:val="00651131"/>
    <w:rsid w:val="0065298B"/>
    <w:rsid w:val="00654A0D"/>
    <w:rsid w:val="0065702D"/>
    <w:rsid w:val="00657034"/>
    <w:rsid w:val="006625D2"/>
    <w:rsid w:val="00662BA4"/>
    <w:rsid w:val="0066367A"/>
    <w:rsid w:val="0066464C"/>
    <w:rsid w:val="006655E3"/>
    <w:rsid w:val="006668F8"/>
    <w:rsid w:val="006718EE"/>
    <w:rsid w:val="006719A2"/>
    <w:rsid w:val="00671D16"/>
    <w:rsid w:val="00671FC0"/>
    <w:rsid w:val="00674693"/>
    <w:rsid w:val="00675879"/>
    <w:rsid w:val="006762D1"/>
    <w:rsid w:val="006774E9"/>
    <w:rsid w:val="00677BB7"/>
    <w:rsid w:val="00683CF7"/>
    <w:rsid w:val="00685D53"/>
    <w:rsid w:val="00691B28"/>
    <w:rsid w:val="006934AB"/>
    <w:rsid w:val="00693656"/>
    <w:rsid w:val="0069432E"/>
    <w:rsid w:val="006949AB"/>
    <w:rsid w:val="006977CC"/>
    <w:rsid w:val="006A0A29"/>
    <w:rsid w:val="006A0AEC"/>
    <w:rsid w:val="006A3D74"/>
    <w:rsid w:val="006A4DAB"/>
    <w:rsid w:val="006A62D1"/>
    <w:rsid w:val="006A675B"/>
    <w:rsid w:val="006A7B49"/>
    <w:rsid w:val="006A7C90"/>
    <w:rsid w:val="006B036B"/>
    <w:rsid w:val="006B0B31"/>
    <w:rsid w:val="006B0CC9"/>
    <w:rsid w:val="006B1C18"/>
    <w:rsid w:val="006B2136"/>
    <w:rsid w:val="006B3278"/>
    <w:rsid w:val="006B45D0"/>
    <w:rsid w:val="006B46EB"/>
    <w:rsid w:val="006B4721"/>
    <w:rsid w:val="006B4D68"/>
    <w:rsid w:val="006B4EF7"/>
    <w:rsid w:val="006B5342"/>
    <w:rsid w:val="006B702D"/>
    <w:rsid w:val="006B7674"/>
    <w:rsid w:val="006C0841"/>
    <w:rsid w:val="006C0BAD"/>
    <w:rsid w:val="006C29FB"/>
    <w:rsid w:val="006C4F9F"/>
    <w:rsid w:val="006C539F"/>
    <w:rsid w:val="006C5709"/>
    <w:rsid w:val="006C5FB4"/>
    <w:rsid w:val="006C6EE5"/>
    <w:rsid w:val="006C7179"/>
    <w:rsid w:val="006C7F9C"/>
    <w:rsid w:val="006D1BC1"/>
    <w:rsid w:val="006D27A0"/>
    <w:rsid w:val="006D342C"/>
    <w:rsid w:val="006D3757"/>
    <w:rsid w:val="006D467F"/>
    <w:rsid w:val="006D4937"/>
    <w:rsid w:val="006D69B7"/>
    <w:rsid w:val="006D7D8F"/>
    <w:rsid w:val="006E0383"/>
    <w:rsid w:val="006E11BC"/>
    <w:rsid w:val="006E447B"/>
    <w:rsid w:val="006E6680"/>
    <w:rsid w:val="006F03D5"/>
    <w:rsid w:val="006F0C4C"/>
    <w:rsid w:val="006F0EE5"/>
    <w:rsid w:val="006F143A"/>
    <w:rsid w:val="006F22CA"/>
    <w:rsid w:val="006F28DF"/>
    <w:rsid w:val="006F3795"/>
    <w:rsid w:val="006F3967"/>
    <w:rsid w:val="006F3A2E"/>
    <w:rsid w:val="006F4052"/>
    <w:rsid w:val="006F4513"/>
    <w:rsid w:val="006F54FA"/>
    <w:rsid w:val="006F765E"/>
    <w:rsid w:val="006F7974"/>
    <w:rsid w:val="0070010A"/>
    <w:rsid w:val="007041DA"/>
    <w:rsid w:val="00704BE9"/>
    <w:rsid w:val="00706503"/>
    <w:rsid w:val="00706B52"/>
    <w:rsid w:val="007114EE"/>
    <w:rsid w:val="00711F0E"/>
    <w:rsid w:val="00711FF2"/>
    <w:rsid w:val="00712467"/>
    <w:rsid w:val="007133E4"/>
    <w:rsid w:val="007150ED"/>
    <w:rsid w:val="0071510E"/>
    <w:rsid w:val="0071708B"/>
    <w:rsid w:val="007172E3"/>
    <w:rsid w:val="00722897"/>
    <w:rsid w:val="00723006"/>
    <w:rsid w:val="00723230"/>
    <w:rsid w:val="00723718"/>
    <w:rsid w:val="00723BE5"/>
    <w:rsid w:val="007244D8"/>
    <w:rsid w:val="0072634F"/>
    <w:rsid w:val="00726359"/>
    <w:rsid w:val="00726920"/>
    <w:rsid w:val="00726ABE"/>
    <w:rsid w:val="00727077"/>
    <w:rsid w:val="00727A8B"/>
    <w:rsid w:val="00730C62"/>
    <w:rsid w:val="007320F3"/>
    <w:rsid w:val="0073289C"/>
    <w:rsid w:val="00733AD7"/>
    <w:rsid w:val="00733C45"/>
    <w:rsid w:val="00733F00"/>
    <w:rsid w:val="00734EBF"/>
    <w:rsid w:val="00735C7B"/>
    <w:rsid w:val="00737C70"/>
    <w:rsid w:val="00740194"/>
    <w:rsid w:val="007410AA"/>
    <w:rsid w:val="00742F16"/>
    <w:rsid w:val="007439DA"/>
    <w:rsid w:val="00743FF6"/>
    <w:rsid w:val="00744FAE"/>
    <w:rsid w:val="00747042"/>
    <w:rsid w:val="00747379"/>
    <w:rsid w:val="00750087"/>
    <w:rsid w:val="0075368C"/>
    <w:rsid w:val="00753A24"/>
    <w:rsid w:val="00754EE4"/>
    <w:rsid w:val="007614E3"/>
    <w:rsid w:val="0076378E"/>
    <w:rsid w:val="00765096"/>
    <w:rsid w:val="007655C0"/>
    <w:rsid w:val="007657C6"/>
    <w:rsid w:val="0076606A"/>
    <w:rsid w:val="00766A1D"/>
    <w:rsid w:val="00771A1C"/>
    <w:rsid w:val="007724B2"/>
    <w:rsid w:val="00772ABB"/>
    <w:rsid w:val="00773C5F"/>
    <w:rsid w:val="00774B6A"/>
    <w:rsid w:val="00775F6C"/>
    <w:rsid w:val="00776B20"/>
    <w:rsid w:val="00777319"/>
    <w:rsid w:val="00780119"/>
    <w:rsid w:val="007828D6"/>
    <w:rsid w:val="007854FF"/>
    <w:rsid w:val="007878C6"/>
    <w:rsid w:val="00790398"/>
    <w:rsid w:val="0079042E"/>
    <w:rsid w:val="00792D93"/>
    <w:rsid w:val="0079358A"/>
    <w:rsid w:val="00793F0F"/>
    <w:rsid w:val="007949A4"/>
    <w:rsid w:val="00795B18"/>
    <w:rsid w:val="0079645F"/>
    <w:rsid w:val="007A03A8"/>
    <w:rsid w:val="007A152E"/>
    <w:rsid w:val="007A41F4"/>
    <w:rsid w:val="007A4425"/>
    <w:rsid w:val="007A59FE"/>
    <w:rsid w:val="007A6F13"/>
    <w:rsid w:val="007A7880"/>
    <w:rsid w:val="007B1249"/>
    <w:rsid w:val="007B2060"/>
    <w:rsid w:val="007B2894"/>
    <w:rsid w:val="007B5DDD"/>
    <w:rsid w:val="007B76AA"/>
    <w:rsid w:val="007C0AF6"/>
    <w:rsid w:val="007C1D07"/>
    <w:rsid w:val="007C2B05"/>
    <w:rsid w:val="007C3AB3"/>
    <w:rsid w:val="007C40DF"/>
    <w:rsid w:val="007C4B37"/>
    <w:rsid w:val="007C7DD6"/>
    <w:rsid w:val="007D13EA"/>
    <w:rsid w:val="007D4D8A"/>
    <w:rsid w:val="007E005C"/>
    <w:rsid w:val="007E161B"/>
    <w:rsid w:val="007E2C59"/>
    <w:rsid w:val="007E2C86"/>
    <w:rsid w:val="007E3B4F"/>
    <w:rsid w:val="007E63FA"/>
    <w:rsid w:val="007F1607"/>
    <w:rsid w:val="007F738A"/>
    <w:rsid w:val="00800E65"/>
    <w:rsid w:val="00801915"/>
    <w:rsid w:val="00801EAB"/>
    <w:rsid w:val="00802E7A"/>
    <w:rsid w:val="00805799"/>
    <w:rsid w:val="00805895"/>
    <w:rsid w:val="00806F84"/>
    <w:rsid w:val="00812BCF"/>
    <w:rsid w:val="00814DCB"/>
    <w:rsid w:val="0081523A"/>
    <w:rsid w:val="008162C8"/>
    <w:rsid w:val="008167E8"/>
    <w:rsid w:val="00821BE0"/>
    <w:rsid w:val="008230D9"/>
    <w:rsid w:val="008248D3"/>
    <w:rsid w:val="0082681D"/>
    <w:rsid w:val="0082727A"/>
    <w:rsid w:val="008278D9"/>
    <w:rsid w:val="008279CC"/>
    <w:rsid w:val="00827FEF"/>
    <w:rsid w:val="008301F9"/>
    <w:rsid w:val="008314AC"/>
    <w:rsid w:val="00832676"/>
    <w:rsid w:val="00833F21"/>
    <w:rsid w:val="0083562B"/>
    <w:rsid w:val="00836FA0"/>
    <w:rsid w:val="008420B8"/>
    <w:rsid w:val="0084271E"/>
    <w:rsid w:val="008447EA"/>
    <w:rsid w:val="00844A6E"/>
    <w:rsid w:val="00845548"/>
    <w:rsid w:val="00846C95"/>
    <w:rsid w:val="00850438"/>
    <w:rsid w:val="00851D0D"/>
    <w:rsid w:val="0085249D"/>
    <w:rsid w:val="00852D85"/>
    <w:rsid w:val="008539F2"/>
    <w:rsid w:val="00854219"/>
    <w:rsid w:val="00854DD1"/>
    <w:rsid w:val="008551DA"/>
    <w:rsid w:val="008554A6"/>
    <w:rsid w:val="00855D07"/>
    <w:rsid w:val="00857845"/>
    <w:rsid w:val="00862025"/>
    <w:rsid w:val="00862829"/>
    <w:rsid w:val="00865F41"/>
    <w:rsid w:val="008678E9"/>
    <w:rsid w:val="008719E8"/>
    <w:rsid w:val="00871D0B"/>
    <w:rsid w:val="008729B2"/>
    <w:rsid w:val="0087354E"/>
    <w:rsid w:val="00875AB9"/>
    <w:rsid w:val="008761E7"/>
    <w:rsid w:val="00881398"/>
    <w:rsid w:val="00881AEE"/>
    <w:rsid w:val="00881B3B"/>
    <w:rsid w:val="00881DF9"/>
    <w:rsid w:val="008820FA"/>
    <w:rsid w:val="00883E75"/>
    <w:rsid w:val="00890053"/>
    <w:rsid w:val="00891720"/>
    <w:rsid w:val="00893F77"/>
    <w:rsid w:val="00893F82"/>
    <w:rsid w:val="00894D9F"/>
    <w:rsid w:val="0089577D"/>
    <w:rsid w:val="008958FA"/>
    <w:rsid w:val="00895A87"/>
    <w:rsid w:val="00895FDA"/>
    <w:rsid w:val="008A057C"/>
    <w:rsid w:val="008A0DD6"/>
    <w:rsid w:val="008A0F74"/>
    <w:rsid w:val="008A245B"/>
    <w:rsid w:val="008A2A52"/>
    <w:rsid w:val="008A3F0B"/>
    <w:rsid w:val="008A4E52"/>
    <w:rsid w:val="008A7E99"/>
    <w:rsid w:val="008B0A7A"/>
    <w:rsid w:val="008B18D8"/>
    <w:rsid w:val="008B1ED1"/>
    <w:rsid w:val="008B2186"/>
    <w:rsid w:val="008B271C"/>
    <w:rsid w:val="008B2983"/>
    <w:rsid w:val="008B464E"/>
    <w:rsid w:val="008B5F4E"/>
    <w:rsid w:val="008B621E"/>
    <w:rsid w:val="008C0986"/>
    <w:rsid w:val="008C1547"/>
    <w:rsid w:val="008C1CE7"/>
    <w:rsid w:val="008C3DA3"/>
    <w:rsid w:val="008D264C"/>
    <w:rsid w:val="008D27BA"/>
    <w:rsid w:val="008D338E"/>
    <w:rsid w:val="008D33DF"/>
    <w:rsid w:val="008D76F7"/>
    <w:rsid w:val="008D7862"/>
    <w:rsid w:val="008E4DE8"/>
    <w:rsid w:val="008E5374"/>
    <w:rsid w:val="008E5763"/>
    <w:rsid w:val="008E657E"/>
    <w:rsid w:val="008E732D"/>
    <w:rsid w:val="008E7984"/>
    <w:rsid w:val="008F0698"/>
    <w:rsid w:val="008F2218"/>
    <w:rsid w:val="008F22A2"/>
    <w:rsid w:val="008F3334"/>
    <w:rsid w:val="008F3D28"/>
    <w:rsid w:val="008F527F"/>
    <w:rsid w:val="008F6306"/>
    <w:rsid w:val="008F6B2B"/>
    <w:rsid w:val="008F6DBA"/>
    <w:rsid w:val="008F7342"/>
    <w:rsid w:val="008F7959"/>
    <w:rsid w:val="009033A2"/>
    <w:rsid w:val="00903557"/>
    <w:rsid w:val="00903B55"/>
    <w:rsid w:val="00905BDE"/>
    <w:rsid w:val="00905FF8"/>
    <w:rsid w:val="00907AA8"/>
    <w:rsid w:val="0091097F"/>
    <w:rsid w:val="009116A9"/>
    <w:rsid w:val="00912FD7"/>
    <w:rsid w:val="0091428C"/>
    <w:rsid w:val="00914D46"/>
    <w:rsid w:val="00914DEA"/>
    <w:rsid w:val="00917FE3"/>
    <w:rsid w:val="00921B81"/>
    <w:rsid w:val="0092267F"/>
    <w:rsid w:val="00922CDC"/>
    <w:rsid w:val="00923096"/>
    <w:rsid w:val="009231CD"/>
    <w:rsid w:val="00923C86"/>
    <w:rsid w:val="00924177"/>
    <w:rsid w:val="009243E7"/>
    <w:rsid w:val="009251A4"/>
    <w:rsid w:val="009258C7"/>
    <w:rsid w:val="0092760F"/>
    <w:rsid w:val="00927AEF"/>
    <w:rsid w:val="0093067D"/>
    <w:rsid w:val="009312E1"/>
    <w:rsid w:val="00931C58"/>
    <w:rsid w:val="0093327E"/>
    <w:rsid w:val="00934333"/>
    <w:rsid w:val="009351B6"/>
    <w:rsid w:val="009360D5"/>
    <w:rsid w:val="00937560"/>
    <w:rsid w:val="009378EB"/>
    <w:rsid w:val="009400D5"/>
    <w:rsid w:val="00943186"/>
    <w:rsid w:val="009434EE"/>
    <w:rsid w:val="009434EF"/>
    <w:rsid w:val="009446BF"/>
    <w:rsid w:val="009451FF"/>
    <w:rsid w:val="00947625"/>
    <w:rsid w:val="00950B87"/>
    <w:rsid w:val="00951557"/>
    <w:rsid w:val="00951C59"/>
    <w:rsid w:val="00951D50"/>
    <w:rsid w:val="00952FE7"/>
    <w:rsid w:val="0095340F"/>
    <w:rsid w:val="00954117"/>
    <w:rsid w:val="00956631"/>
    <w:rsid w:val="00956DB9"/>
    <w:rsid w:val="0095767C"/>
    <w:rsid w:val="00963FF3"/>
    <w:rsid w:val="009640BF"/>
    <w:rsid w:val="0096477C"/>
    <w:rsid w:val="00964ED1"/>
    <w:rsid w:val="009675A3"/>
    <w:rsid w:val="009702AE"/>
    <w:rsid w:val="00970DD3"/>
    <w:rsid w:val="00971BEA"/>
    <w:rsid w:val="009728F3"/>
    <w:rsid w:val="0097307F"/>
    <w:rsid w:val="00977939"/>
    <w:rsid w:val="00977BBB"/>
    <w:rsid w:val="00980710"/>
    <w:rsid w:val="00981229"/>
    <w:rsid w:val="00981B44"/>
    <w:rsid w:val="009824AB"/>
    <w:rsid w:val="009829E5"/>
    <w:rsid w:val="00982EE0"/>
    <w:rsid w:val="009831F0"/>
    <w:rsid w:val="0098373B"/>
    <w:rsid w:val="0098497D"/>
    <w:rsid w:val="00984EE2"/>
    <w:rsid w:val="00984FD8"/>
    <w:rsid w:val="009858D6"/>
    <w:rsid w:val="00986627"/>
    <w:rsid w:val="00987594"/>
    <w:rsid w:val="00991715"/>
    <w:rsid w:val="00991F66"/>
    <w:rsid w:val="009924B7"/>
    <w:rsid w:val="00995C9A"/>
    <w:rsid w:val="00996997"/>
    <w:rsid w:val="00996A0D"/>
    <w:rsid w:val="0099706E"/>
    <w:rsid w:val="00997FC6"/>
    <w:rsid w:val="009A0A95"/>
    <w:rsid w:val="009A0DE1"/>
    <w:rsid w:val="009A31C8"/>
    <w:rsid w:val="009A3639"/>
    <w:rsid w:val="009A4846"/>
    <w:rsid w:val="009A4944"/>
    <w:rsid w:val="009A5073"/>
    <w:rsid w:val="009A5218"/>
    <w:rsid w:val="009A7746"/>
    <w:rsid w:val="009B0075"/>
    <w:rsid w:val="009B0981"/>
    <w:rsid w:val="009B16DB"/>
    <w:rsid w:val="009B2958"/>
    <w:rsid w:val="009B39BB"/>
    <w:rsid w:val="009B7232"/>
    <w:rsid w:val="009C1587"/>
    <w:rsid w:val="009C182E"/>
    <w:rsid w:val="009C47E2"/>
    <w:rsid w:val="009C58F6"/>
    <w:rsid w:val="009C59A8"/>
    <w:rsid w:val="009C5CB3"/>
    <w:rsid w:val="009D036C"/>
    <w:rsid w:val="009D052A"/>
    <w:rsid w:val="009D0707"/>
    <w:rsid w:val="009D4279"/>
    <w:rsid w:val="009D5B4C"/>
    <w:rsid w:val="009E103C"/>
    <w:rsid w:val="009E3908"/>
    <w:rsid w:val="009E4092"/>
    <w:rsid w:val="009E54E6"/>
    <w:rsid w:val="009E5E1B"/>
    <w:rsid w:val="009E7130"/>
    <w:rsid w:val="009F6598"/>
    <w:rsid w:val="009F6C14"/>
    <w:rsid w:val="009F6DBA"/>
    <w:rsid w:val="00A01C53"/>
    <w:rsid w:val="00A03065"/>
    <w:rsid w:val="00A0446B"/>
    <w:rsid w:val="00A044BA"/>
    <w:rsid w:val="00A050FF"/>
    <w:rsid w:val="00A05360"/>
    <w:rsid w:val="00A077ED"/>
    <w:rsid w:val="00A1084B"/>
    <w:rsid w:val="00A123FF"/>
    <w:rsid w:val="00A12C99"/>
    <w:rsid w:val="00A14498"/>
    <w:rsid w:val="00A15FFC"/>
    <w:rsid w:val="00A1639B"/>
    <w:rsid w:val="00A20054"/>
    <w:rsid w:val="00A21692"/>
    <w:rsid w:val="00A244B1"/>
    <w:rsid w:val="00A246B7"/>
    <w:rsid w:val="00A32620"/>
    <w:rsid w:val="00A33BAA"/>
    <w:rsid w:val="00A40289"/>
    <w:rsid w:val="00A402C4"/>
    <w:rsid w:val="00A43ABB"/>
    <w:rsid w:val="00A43BD4"/>
    <w:rsid w:val="00A44E32"/>
    <w:rsid w:val="00A4597E"/>
    <w:rsid w:val="00A45E33"/>
    <w:rsid w:val="00A46978"/>
    <w:rsid w:val="00A52F04"/>
    <w:rsid w:val="00A5371A"/>
    <w:rsid w:val="00A54379"/>
    <w:rsid w:val="00A54D85"/>
    <w:rsid w:val="00A55228"/>
    <w:rsid w:val="00A5532E"/>
    <w:rsid w:val="00A55362"/>
    <w:rsid w:val="00A55B1F"/>
    <w:rsid w:val="00A614AE"/>
    <w:rsid w:val="00A615CD"/>
    <w:rsid w:val="00A6198E"/>
    <w:rsid w:val="00A628B0"/>
    <w:rsid w:val="00A63391"/>
    <w:rsid w:val="00A66087"/>
    <w:rsid w:val="00A7006B"/>
    <w:rsid w:val="00A72C64"/>
    <w:rsid w:val="00A72D6D"/>
    <w:rsid w:val="00A73613"/>
    <w:rsid w:val="00A75B22"/>
    <w:rsid w:val="00A7674E"/>
    <w:rsid w:val="00A806DB"/>
    <w:rsid w:val="00A8249C"/>
    <w:rsid w:val="00A82C92"/>
    <w:rsid w:val="00A8367E"/>
    <w:rsid w:val="00A86B6A"/>
    <w:rsid w:val="00A90DAE"/>
    <w:rsid w:val="00A919AD"/>
    <w:rsid w:val="00A93827"/>
    <w:rsid w:val="00A943DD"/>
    <w:rsid w:val="00A959CB"/>
    <w:rsid w:val="00A971BC"/>
    <w:rsid w:val="00A97372"/>
    <w:rsid w:val="00AA27AA"/>
    <w:rsid w:val="00AA3D93"/>
    <w:rsid w:val="00AA4E2E"/>
    <w:rsid w:val="00AA71D6"/>
    <w:rsid w:val="00AA7E7E"/>
    <w:rsid w:val="00AB0121"/>
    <w:rsid w:val="00AB1501"/>
    <w:rsid w:val="00AB1C92"/>
    <w:rsid w:val="00AB2313"/>
    <w:rsid w:val="00AB2452"/>
    <w:rsid w:val="00AB3052"/>
    <w:rsid w:val="00AB30F3"/>
    <w:rsid w:val="00AB4F4F"/>
    <w:rsid w:val="00AB4F7A"/>
    <w:rsid w:val="00AB5080"/>
    <w:rsid w:val="00AB5378"/>
    <w:rsid w:val="00AB7B84"/>
    <w:rsid w:val="00AC1EB7"/>
    <w:rsid w:val="00AC4709"/>
    <w:rsid w:val="00AC5DE6"/>
    <w:rsid w:val="00AC6E57"/>
    <w:rsid w:val="00AC7A0D"/>
    <w:rsid w:val="00AD201B"/>
    <w:rsid w:val="00AD52FA"/>
    <w:rsid w:val="00AD537C"/>
    <w:rsid w:val="00AD75B5"/>
    <w:rsid w:val="00AE0118"/>
    <w:rsid w:val="00AE0630"/>
    <w:rsid w:val="00AE1431"/>
    <w:rsid w:val="00AE1854"/>
    <w:rsid w:val="00AE2132"/>
    <w:rsid w:val="00AE28AC"/>
    <w:rsid w:val="00AE3F73"/>
    <w:rsid w:val="00AE46A6"/>
    <w:rsid w:val="00AE4C62"/>
    <w:rsid w:val="00AE6499"/>
    <w:rsid w:val="00AE6D4D"/>
    <w:rsid w:val="00AF014E"/>
    <w:rsid w:val="00AF225A"/>
    <w:rsid w:val="00B00430"/>
    <w:rsid w:val="00B06665"/>
    <w:rsid w:val="00B0763D"/>
    <w:rsid w:val="00B106FB"/>
    <w:rsid w:val="00B11667"/>
    <w:rsid w:val="00B1249E"/>
    <w:rsid w:val="00B12C9F"/>
    <w:rsid w:val="00B14D3D"/>
    <w:rsid w:val="00B1508B"/>
    <w:rsid w:val="00B16FF7"/>
    <w:rsid w:val="00B17767"/>
    <w:rsid w:val="00B21390"/>
    <w:rsid w:val="00B230F4"/>
    <w:rsid w:val="00B2417D"/>
    <w:rsid w:val="00B2423F"/>
    <w:rsid w:val="00B24378"/>
    <w:rsid w:val="00B3152B"/>
    <w:rsid w:val="00B33902"/>
    <w:rsid w:val="00B358BD"/>
    <w:rsid w:val="00B36318"/>
    <w:rsid w:val="00B372A8"/>
    <w:rsid w:val="00B37F75"/>
    <w:rsid w:val="00B41365"/>
    <w:rsid w:val="00B42104"/>
    <w:rsid w:val="00B42323"/>
    <w:rsid w:val="00B439E8"/>
    <w:rsid w:val="00B47C2D"/>
    <w:rsid w:val="00B47C50"/>
    <w:rsid w:val="00B5022E"/>
    <w:rsid w:val="00B5038F"/>
    <w:rsid w:val="00B532F1"/>
    <w:rsid w:val="00B55086"/>
    <w:rsid w:val="00B550BF"/>
    <w:rsid w:val="00B57F5C"/>
    <w:rsid w:val="00B60191"/>
    <w:rsid w:val="00B60476"/>
    <w:rsid w:val="00B61768"/>
    <w:rsid w:val="00B627A1"/>
    <w:rsid w:val="00B634B5"/>
    <w:rsid w:val="00B64515"/>
    <w:rsid w:val="00B64C36"/>
    <w:rsid w:val="00B64EDA"/>
    <w:rsid w:val="00B65995"/>
    <w:rsid w:val="00B722A3"/>
    <w:rsid w:val="00B733BE"/>
    <w:rsid w:val="00B744C7"/>
    <w:rsid w:val="00B74AE7"/>
    <w:rsid w:val="00B77155"/>
    <w:rsid w:val="00B77E1B"/>
    <w:rsid w:val="00B80106"/>
    <w:rsid w:val="00B80B44"/>
    <w:rsid w:val="00B81ACC"/>
    <w:rsid w:val="00B86627"/>
    <w:rsid w:val="00B90000"/>
    <w:rsid w:val="00B91520"/>
    <w:rsid w:val="00B91D08"/>
    <w:rsid w:val="00B94C50"/>
    <w:rsid w:val="00B954BC"/>
    <w:rsid w:val="00BA22F6"/>
    <w:rsid w:val="00BA466D"/>
    <w:rsid w:val="00BA5100"/>
    <w:rsid w:val="00BA5AA8"/>
    <w:rsid w:val="00BA6B05"/>
    <w:rsid w:val="00BA7A09"/>
    <w:rsid w:val="00BA7BB5"/>
    <w:rsid w:val="00BB04D1"/>
    <w:rsid w:val="00BB06CB"/>
    <w:rsid w:val="00BB0EE0"/>
    <w:rsid w:val="00BB1EEE"/>
    <w:rsid w:val="00BB3B0E"/>
    <w:rsid w:val="00BB4F7A"/>
    <w:rsid w:val="00BB53EE"/>
    <w:rsid w:val="00BB5A9E"/>
    <w:rsid w:val="00BB5FB6"/>
    <w:rsid w:val="00BC1396"/>
    <w:rsid w:val="00BC20E3"/>
    <w:rsid w:val="00BC3188"/>
    <w:rsid w:val="00BC4839"/>
    <w:rsid w:val="00BC5044"/>
    <w:rsid w:val="00BC52E4"/>
    <w:rsid w:val="00BC555F"/>
    <w:rsid w:val="00BC5F50"/>
    <w:rsid w:val="00BC6165"/>
    <w:rsid w:val="00BC6F1E"/>
    <w:rsid w:val="00BC7F4E"/>
    <w:rsid w:val="00BD039A"/>
    <w:rsid w:val="00BD10B2"/>
    <w:rsid w:val="00BD13D8"/>
    <w:rsid w:val="00BD1ACD"/>
    <w:rsid w:val="00BD390C"/>
    <w:rsid w:val="00BD3CE7"/>
    <w:rsid w:val="00BD4EA0"/>
    <w:rsid w:val="00BD605F"/>
    <w:rsid w:val="00BD7517"/>
    <w:rsid w:val="00BD7CF9"/>
    <w:rsid w:val="00BE2862"/>
    <w:rsid w:val="00BE425E"/>
    <w:rsid w:val="00BE47CC"/>
    <w:rsid w:val="00BE49BD"/>
    <w:rsid w:val="00BE5228"/>
    <w:rsid w:val="00BE6537"/>
    <w:rsid w:val="00BE7443"/>
    <w:rsid w:val="00BF0CDE"/>
    <w:rsid w:val="00BF0D86"/>
    <w:rsid w:val="00BF1372"/>
    <w:rsid w:val="00BF247E"/>
    <w:rsid w:val="00BF29ED"/>
    <w:rsid w:val="00BF2D9C"/>
    <w:rsid w:val="00BF348F"/>
    <w:rsid w:val="00BF5958"/>
    <w:rsid w:val="00BF6D4C"/>
    <w:rsid w:val="00C020A2"/>
    <w:rsid w:val="00C023F2"/>
    <w:rsid w:val="00C02CA4"/>
    <w:rsid w:val="00C038BF"/>
    <w:rsid w:val="00C0539C"/>
    <w:rsid w:val="00C06D03"/>
    <w:rsid w:val="00C0744E"/>
    <w:rsid w:val="00C118FD"/>
    <w:rsid w:val="00C11DFB"/>
    <w:rsid w:val="00C133CF"/>
    <w:rsid w:val="00C2347B"/>
    <w:rsid w:val="00C235D9"/>
    <w:rsid w:val="00C24FC5"/>
    <w:rsid w:val="00C25961"/>
    <w:rsid w:val="00C30666"/>
    <w:rsid w:val="00C30EC2"/>
    <w:rsid w:val="00C3275D"/>
    <w:rsid w:val="00C3355D"/>
    <w:rsid w:val="00C36376"/>
    <w:rsid w:val="00C377DC"/>
    <w:rsid w:val="00C40179"/>
    <w:rsid w:val="00C416D9"/>
    <w:rsid w:val="00C420E2"/>
    <w:rsid w:val="00C44529"/>
    <w:rsid w:val="00C44F8B"/>
    <w:rsid w:val="00C4525D"/>
    <w:rsid w:val="00C458B4"/>
    <w:rsid w:val="00C52394"/>
    <w:rsid w:val="00C5308E"/>
    <w:rsid w:val="00C54F75"/>
    <w:rsid w:val="00C557BD"/>
    <w:rsid w:val="00C57ACF"/>
    <w:rsid w:val="00C6033A"/>
    <w:rsid w:val="00C60F4C"/>
    <w:rsid w:val="00C61875"/>
    <w:rsid w:val="00C64CAD"/>
    <w:rsid w:val="00C71E90"/>
    <w:rsid w:val="00C71F87"/>
    <w:rsid w:val="00C7221E"/>
    <w:rsid w:val="00C722B3"/>
    <w:rsid w:val="00C7248D"/>
    <w:rsid w:val="00C72A11"/>
    <w:rsid w:val="00C7335E"/>
    <w:rsid w:val="00C7359D"/>
    <w:rsid w:val="00C73F53"/>
    <w:rsid w:val="00C74A2A"/>
    <w:rsid w:val="00C75790"/>
    <w:rsid w:val="00C758F5"/>
    <w:rsid w:val="00C771B8"/>
    <w:rsid w:val="00C811B3"/>
    <w:rsid w:val="00C840D8"/>
    <w:rsid w:val="00C84BE8"/>
    <w:rsid w:val="00C85816"/>
    <w:rsid w:val="00C86C6F"/>
    <w:rsid w:val="00C90D73"/>
    <w:rsid w:val="00C9347A"/>
    <w:rsid w:val="00C93655"/>
    <w:rsid w:val="00C941A3"/>
    <w:rsid w:val="00C94572"/>
    <w:rsid w:val="00CA01AA"/>
    <w:rsid w:val="00CA0A78"/>
    <w:rsid w:val="00CA0CBB"/>
    <w:rsid w:val="00CA15ED"/>
    <w:rsid w:val="00CA20DE"/>
    <w:rsid w:val="00CA526E"/>
    <w:rsid w:val="00CA5A75"/>
    <w:rsid w:val="00CA68AD"/>
    <w:rsid w:val="00CB03DB"/>
    <w:rsid w:val="00CB2790"/>
    <w:rsid w:val="00CB30C9"/>
    <w:rsid w:val="00CB311B"/>
    <w:rsid w:val="00CB5A19"/>
    <w:rsid w:val="00CB5B95"/>
    <w:rsid w:val="00CC19A5"/>
    <w:rsid w:val="00CC33FA"/>
    <w:rsid w:val="00CC3B12"/>
    <w:rsid w:val="00CC6113"/>
    <w:rsid w:val="00CC7E1F"/>
    <w:rsid w:val="00CD0DD2"/>
    <w:rsid w:val="00CD1896"/>
    <w:rsid w:val="00CD2E88"/>
    <w:rsid w:val="00CD5562"/>
    <w:rsid w:val="00CD600B"/>
    <w:rsid w:val="00CD6A68"/>
    <w:rsid w:val="00CD6A88"/>
    <w:rsid w:val="00CD6BA7"/>
    <w:rsid w:val="00CE0970"/>
    <w:rsid w:val="00CE17C8"/>
    <w:rsid w:val="00CE198A"/>
    <w:rsid w:val="00CE486F"/>
    <w:rsid w:val="00CE4923"/>
    <w:rsid w:val="00CE4D1C"/>
    <w:rsid w:val="00CE4F9D"/>
    <w:rsid w:val="00CE73F5"/>
    <w:rsid w:val="00CE7F9F"/>
    <w:rsid w:val="00CE7FAB"/>
    <w:rsid w:val="00CF0074"/>
    <w:rsid w:val="00CF0A40"/>
    <w:rsid w:val="00CF0C9F"/>
    <w:rsid w:val="00CF398F"/>
    <w:rsid w:val="00CF475F"/>
    <w:rsid w:val="00CF5E0B"/>
    <w:rsid w:val="00CF7072"/>
    <w:rsid w:val="00CF7C96"/>
    <w:rsid w:val="00D01500"/>
    <w:rsid w:val="00D01E43"/>
    <w:rsid w:val="00D029DD"/>
    <w:rsid w:val="00D032C2"/>
    <w:rsid w:val="00D05FB7"/>
    <w:rsid w:val="00D071E5"/>
    <w:rsid w:val="00D07F68"/>
    <w:rsid w:val="00D1212A"/>
    <w:rsid w:val="00D14838"/>
    <w:rsid w:val="00D15089"/>
    <w:rsid w:val="00D16C67"/>
    <w:rsid w:val="00D176E6"/>
    <w:rsid w:val="00D1776B"/>
    <w:rsid w:val="00D26E8C"/>
    <w:rsid w:val="00D31616"/>
    <w:rsid w:val="00D31C7A"/>
    <w:rsid w:val="00D31D7E"/>
    <w:rsid w:val="00D33B27"/>
    <w:rsid w:val="00D33C8A"/>
    <w:rsid w:val="00D33E83"/>
    <w:rsid w:val="00D34076"/>
    <w:rsid w:val="00D35CF7"/>
    <w:rsid w:val="00D40B79"/>
    <w:rsid w:val="00D41343"/>
    <w:rsid w:val="00D43291"/>
    <w:rsid w:val="00D43EAC"/>
    <w:rsid w:val="00D45174"/>
    <w:rsid w:val="00D45389"/>
    <w:rsid w:val="00D46211"/>
    <w:rsid w:val="00D47E28"/>
    <w:rsid w:val="00D47E9D"/>
    <w:rsid w:val="00D51DA3"/>
    <w:rsid w:val="00D53EEE"/>
    <w:rsid w:val="00D56662"/>
    <w:rsid w:val="00D56F5B"/>
    <w:rsid w:val="00D61807"/>
    <w:rsid w:val="00D6262E"/>
    <w:rsid w:val="00D649CE"/>
    <w:rsid w:val="00D6600F"/>
    <w:rsid w:val="00D667FC"/>
    <w:rsid w:val="00D71246"/>
    <w:rsid w:val="00D73AA2"/>
    <w:rsid w:val="00D74B2C"/>
    <w:rsid w:val="00D753AE"/>
    <w:rsid w:val="00D7678F"/>
    <w:rsid w:val="00D80230"/>
    <w:rsid w:val="00D80B41"/>
    <w:rsid w:val="00D83381"/>
    <w:rsid w:val="00D8365E"/>
    <w:rsid w:val="00D84F8B"/>
    <w:rsid w:val="00D85409"/>
    <w:rsid w:val="00D85AF4"/>
    <w:rsid w:val="00D87028"/>
    <w:rsid w:val="00D9228D"/>
    <w:rsid w:val="00D931CF"/>
    <w:rsid w:val="00D93CF1"/>
    <w:rsid w:val="00D94306"/>
    <w:rsid w:val="00D94ED3"/>
    <w:rsid w:val="00D96CC1"/>
    <w:rsid w:val="00DA0C3C"/>
    <w:rsid w:val="00DA13CB"/>
    <w:rsid w:val="00DA2A2B"/>
    <w:rsid w:val="00DA3FD2"/>
    <w:rsid w:val="00DA56A6"/>
    <w:rsid w:val="00DA5D05"/>
    <w:rsid w:val="00DA5F09"/>
    <w:rsid w:val="00DA72DE"/>
    <w:rsid w:val="00DB1B4E"/>
    <w:rsid w:val="00DB3F3A"/>
    <w:rsid w:val="00DB493F"/>
    <w:rsid w:val="00DB71C1"/>
    <w:rsid w:val="00DB763B"/>
    <w:rsid w:val="00DC0241"/>
    <w:rsid w:val="00DC096E"/>
    <w:rsid w:val="00DC1129"/>
    <w:rsid w:val="00DC1791"/>
    <w:rsid w:val="00DC1E93"/>
    <w:rsid w:val="00DC2C9F"/>
    <w:rsid w:val="00DC429E"/>
    <w:rsid w:val="00DC4980"/>
    <w:rsid w:val="00DC4E6D"/>
    <w:rsid w:val="00DC6290"/>
    <w:rsid w:val="00DC680E"/>
    <w:rsid w:val="00DC6E84"/>
    <w:rsid w:val="00DD0B9C"/>
    <w:rsid w:val="00DD23A3"/>
    <w:rsid w:val="00DD252D"/>
    <w:rsid w:val="00DD3B3D"/>
    <w:rsid w:val="00DD454A"/>
    <w:rsid w:val="00DD4A54"/>
    <w:rsid w:val="00DD66F5"/>
    <w:rsid w:val="00DD6E7F"/>
    <w:rsid w:val="00DD7762"/>
    <w:rsid w:val="00DE0342"/>
    <w:rsid w:val="00DE04BA"/>
    <w:rsid w:val="00DE04EE"/>
    <w:rsid w:val="00DE165F"/>
    <w:rsid w:val="00DE3765"/>
    <w:rsid w:val="00DE519E"/>
    <w:rsid w:val="00DE5F40"/>
    <w:rsid w:val="00DE685F"/>
    <w:rsid w:val="00DE6E2F"/>
    <w:rsid w:val="00DF18FB"/>
    <w:rsid w:val="00DF1F93"/>
    <w:rsid w:val="00DF24FB"/>
    <w:rsid w:val="00DF25BD"/>
    <w:rsid w:val="00DF29A7"/>
    <w:rsid w:val="00DF2DC0"/>
    <w:rsid w:val="00DF5022"/>
    <w:rsid w:val="00DF5306"/>
    <w:rsid w:val="00DF5877"/>
    <w:rsid w:val="00DF677E"/>
    <w:rsid w:val="00DF6D36"/>
    <w:rsid w:val="00E011A7"/>
    <w:rsid w:val="00E0248D"/>
    <w:rsid w:val="00E02B11"/>
    <w:rsid w:val="00E03A30"/>
    <w:rsid w:val="00E04A23"/>
    <w:rsid w:val="00E04ACE"/>
    <w:rsid w:val="00E114BF"/>
    <w:rsid w:val="00E135E9"/>
    <w:rsid w:val="00E13CBB"/>
    <w:rsid w:val="00E13E4C"/>
    <w:rsid w:val="00E162B2"/>
    <w:rsid w:val="00E16A60"/>
    <w:rsid w:val="00E20421"/>
    <w:rsid w:val="00E22C4D"/>
    <w:rsid w:val="00E237CB"/>
    <w:rsid w:val="00E23C23"/>
    <w:rsid w:val="00E2488A"/>
    <w:rsid w:val="00E27EBE"/>
    <w:rsid w:val="00E27EC7"/>
    <w:rsid w:val="00E306AB"/>
    <w:rsid w:val="00E32A34"/>
    <w:rsid w:val="00E33B3F"/>
    <w:rsid w:val="00E342AE"/>
    <w:rsid w:val="00E35D6D"/>
    <w:rsid w:val="00E36B41"/>
    <w:rsid w:val="00E37E48"/>
    <w:rsid w:val="00E42248"/>
    <w:rsid w:val="00E438A6"/>
    <w:rsid w:val="00E43A75"/>
    <w:rsid w:val="00E44765"/>
    <w:rsid w:val="00E44E93"/>
    <w:rsid w:val="00E51CD1"/>
    <w:rsid w:val="00E528FD"/>
    <w:rsid w:val="00E52ACE"/>
    <w:rsid w:val="00E52D20"/>
    <w:rsid w:val="00E52EB0"/>
    <w:rsid w:val="00E5374C"/>
    <w:rsid w:val="00E57009"/>
    <w:rsid w:val="00E60893"/>
    <w:rsid w:val="00E65B67"/>
    <w:rsid w:val="00E66B1A"/>
    <w:rsid w:val="00E70773"/>
    <w:rsid w:val="00E70C1B"/>
    <w:rsid w:val="00E723B6"/>
    <w:rsid w:val="00E724A9"/>
    <w:rsid w:val="00E764CB"/>
    <w:rsid w:val="00E76CFA"/>
    <w:rsid w:val="00E77597"/>
    <w:rsid w:val="00E80B55"/>
    <w:rsid w:val="00E80F69"/>
    <w:rsid w:val="00E833E3"/>
    <w:rsid w:val="00E901A1"/>
    <w:rsid w:val="00E91684"/>
    <w:rsid w:val="00E96C19"/>
    <w:rsid w:val="00E96F91"/>
    <w:rsid w:val="00EA0050"/>
    <w:rsid w:val="00EA2054"/>
    <w:rsid w:val="00EA2AAB"/>
    <w:rsid w:val="00EA5B2C"/>
    <w:rsid w:val="00EB1A71"/>
    <w:rsid w:val="00EB1F1F"/>
    <w:rsid w:val="00EB2372"/>
    <w:rsid w:val="00EB2A82"/>
    <w:rsid w:val="00EB3C81"/>
    <w:rsid w:val="00EB7852"/>
    <w:rsid w:val="00EC35EA"/>
    <w:rsid w:val="00EC5A63"/>
    <w:rsid w:val="00EC7E43"/>
    <w:rsid w:val="00ED1ADC"/>
    <w:rsid w:val="00ED21AC"/>
    <w:rsid w:val="00ED22DA"/>
    <w:rsid w:val="00ED27C2"/>
    <w:rsid w:val="00ED42B4"/>
    <w:rsid w:val="00ED55B5"/>
    <w:rsid w:val="00ED61D5"/>
    <w:rsid w:val="00ED68EA"/>
    <w:rsid w:val="00ED6D8D"/>
    <w:rsid w:val="00ED6D94"/>
    <w:rsid w:val="00EE22E7"/>
    <w:rsid w:val="00EE2749"/>
    <w:rsid w:val="00EE2D3B"/>
    <w:rsid w:val="00EE49B5"/>
    <w:rsid w:val="00EE59C0"/>
    <w:rsid w:val="00EE64A0"/>
    <w:rsid w:val="00EE7A06"/>
    <w:rsid w:val="00EE7CD3"/>
    <w:rsid w:val="00EF12C7"/>
    <w:rsid w:val="00EF2BD5"/>
    <w:rsid w:val="00EF3434"/>
    <w:rsid w:val="00EF3CB4"/>
    <w:rsid w:val="00EF5075"/>
    <w:rsid w:val="00EF57DF"/>
    <w:rsid w:val="00F02210"/>
    <w:rsid w:val="00F025F7"/>
    <w:rsid w:val="00F05424"/>
    <w:rsid w:val="00F06C98"/>
    <w:rsid w:val="00F07AE0"/>
    <w:rsid w:val="00F10314"/>
    <w:rsid w:val="00F1271A"/>
    <w:rsid w:val="00F1515B"/>
    <w:rsid w:val="00F177A1"/>
    <w:rsid w:val="00F17BE7"/>
    <w:rsid w:val="00F21652"/>
    <w:rsid w:val="00F21E6A"/>
    <w:rsid w:val="00F25643"/>
    <w:rsid w:val="00F25DBF"/>
    <w:rsid w:val="00F26906"/>
    <w:rsid w:val="00F26D07"/>
    <w:rsid w:val="00F319E6"/>
    <w:rsid w:val="00F34338"/>
    <w:rsid w:val="00F35D72"/>
    <w:rsid w:val="00F3709C"/>
    <w:rsid w:val="00F37C9D"/>
    <w:rsid w:val="00F40904"/>
    <w:rsid w:val="00F40A6A"/>
    <w:rsid w:val="00F42100"/>
    <w:rsid w:val="00F42F59"/>
    <w:rsid w:val="00F45032"/>
    <w:rsid w:val="00F45A91"/>
    <w:rsid w:val="00F47BEB"/>
    <w:rsid w:val="00F47C0E"/>
    <w:rsid w:val="00F47C35"/>
    <w:rsid w:val="00F51376"/>
    <w:rsid w:val="00F527A3"/>
    <w:rsid w:val="00F53325"/>
    <w:rsid w:val="00F544C5"/>
    <w:rsid w:val="00F54D65"/>
    <w:rsid w:val="00F55C34"/>
    <w:rsid w:val="00F56066"/>
    <w:rsid w:val="00F567DF"/>
    <w:rsid w:val="00F56832"/>
    <w:rsid w:val="00F569DA"/>
    <w:rsid w:val="00F61F3A"/>
    <w:rsid w:val="00F62379"/>
    <w:rsid w:val="00F628B2"/>
    <w:rsid w:val="00F63D6C"/>
    <w:rsid w:val="00F64894"/>
    <w:rsid w:val="00F66446"/>
    <w:rsid w:val="00F66638"/>
    <w:rsid w:val="00F66669"/>
    <w:rsid w:val="00F66FAE"/>
    <w:rsid w:val="00F6708C"/>
    <w:rsid w:val="00F72E5A"/>
    <w:rsid w:val="00F73C49"/>
    <w:rsid w:val="00F75991"/>
    <w:rsid w:val="00F80CC4"/>
    <w:rsid w:val="00F8188E"/>
    <w:rsid w:val="00F825CA"/>
    <w:rsid w:val="00F827DB"/>
    <w:rsid w:val="00F82AEF"/>
    <w:rsid w:val="00F84018"/>
    <w:rsid w:val="00F90B4C"/>
    <w:rsid w:val="00F90CC0"/>
    <w:rsid w:val="00F942ED"/>
    <w:rsid w:val="00F94C73"/>
    <w:rsid w:val="00F96263"/>
    <w:rsid w:val="00FA131C"/>
    <w:rsid w:val="00FA1D15"/>
    <w:rsid w:val="00FA2317"/>
    <w:rsid w:val="00FA5144"/>
    <w:rsid w:val="00FA5609"/>
    <w:rsid w:val="00FA6D60"/>
    <w:rsid w:val="00FA7414"/>
    <w:rsid w:val="00FA792D"/>
    <w:rsid w:val="00FB1E36"/>
    <w:rsid w:val="00FB2EBA"/>
    <w:rsid w:val="00FB573F"/>
    <w:rsid w:val="00FB6545"/>
    <w:rsid w:val="00FB7173"/>
    <w:rsid w:val="00FB7C42"/>
    <w:rsid w:val="00FC0C53"/>
    <w:rsid w:val="00FC1073"/>
    <w:rsid w:val="00FC1F49"/>
    <w:rsid w:val="00FC41CA"/>
    <w:rsid w:val="00FC5744"/>
    <w:rsid w:val="00FC64EA"/>
    <w:rsid w:val="00FC654F"/>
    <w:rsid w:val="00FD0797"/>
    <w:rsid w:val="00FD40F0"/>
    <w:rsid w:val="00FD4145"/>
    <w:rsid w:val="00FD58D8"/>
    <w:rsid w:val="00FD726E"/>
    <w:rsid w:val="00FE0142"/>
    <w:rsid w:val="00FE2EBA"/>
    <w:rsid w:val="00FE35F2"/>
    <w:rsid w:val="00FE4B1D"/>
    <w:rsid w:val="00FE4CFA"/>
    <w:rsid w:val="00FE5022"/>
    <w:rsid w:val="00FF0679"/>
    <w:rsid w:val="00FF2FA4"/>
    <w:rsid w:val="00FF3087"/>
    <w:rsid w:val="00FF48B6"/>
    <w:rsid w:val="00FF4ED9"/>
    <w:rsid w:val="00FF6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F31EA"/>
  <w15:chartTrackingRefBased/>
  <w15:docId w15:val="{41B500A2-D819-437E-85CC-C6676A93A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325D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D2BA4"/>
    <w:pPr>
      <w:keepNext/>
      <w:keepLines/>
      <w:spacing w:before="40" w:line="259" w:lineRule="auto"/>
      <w:jc w:val="left"/>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797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2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924B7"/>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924B7"/>
    <w:rPr>
      <w:color w:val="0000FF"/>
      <w:u w:val="single"/>
    </w:rPr>
  </w:style>
  <w:style w:type="character" w:customStyle="1" w:styleId="small">
    <w:name w:val="small"/>
    <w:basedOn w:val="DefaultParagraphFont"/>
    <w:rsid w:val="009924B7"/>
  </w:style>
  <w:style w:type="character" w:styleId="Emphasis">
    <w:name w:val="Emphasis"/>
    <w:basedOn w:val="DefaultParagraphFont"/>
    <w:uiPriority w:val="20"/>
    <w:qFormat/>
    <w:rsid w:val="00E35D6D"/>
    <w:rPr>
      <w:i/>
      <w:iCs/>
    </w:rPr>
  </w:style>
  <w:style w:type="character" w:customStyle="1" w:styleId="UnresolvedMention">
    <w:name w:val="Unresolved Mention"/>
    <w:basedOn w:val="DefaultParagraphFont"/>
    <w:uiPriority w:val="99"/>
    <w:semiHidden/>
    <w:unhideWhenUsed/>
    <w:rsid w:val="007410AA"/>
    <w:rPr>
      <w:color w:val="605E5C"/>
      <w:shd w:val="clear" w:color="auto" w:fill="E1DFDD"/>
    </w:rPr>
  </w:style>
  <w:style w:type="paragraph" w:styleId="Header">
    <w:name w:val="header"/>
    <w:basedOn w:val="Normal"/>
    <w:link w:val="HeaderChar"/>
    <w:uiPriority w:val="99"/>
    <w:unhideWhenUsed/>
    <w:rsid w:val="000D7247"/>
    <w:pPr>
      <w:tabs>
        <w:tab w:val="center" w:pos="4513"/>
        <w:tab w:val="right" w:pos="9026"/>
      </w:tabs>
    </w:pPr>
  </w:style>
  <w:style w:type="character" w:customStyle="1" w:styleId="HeaderChar">
    <w:name w:val="Header Char"/>
    <w:basedOn w:val="DefaultParagraphFont"/>
    <w:link w:val="Header"/>
    <w:uiPriority w:val="99"/>
    <w:rsid w:val="000D7247"/>
  </w:style>
  <w:style w:type="paragraph" w:styleId="Footer">
    <w:name w:val="footer"/>
    <w:basedOn w:val="Normal"/>
    <w:link w:val="FooterChar"/>
    <w:uiPriority w:val="99"/>
    <w:unhideWhenUsed/>
    <w:rsid w:val="000D7247"/>
    <w:pPr>
      <w:tabs>
        <w:tab w:val="center" w:pos="4513"/>
        <w:tab w:val="right" w:pos="9026"/>
      </w:tabs>
    </w:pPr>
  </w:style>
  <w:style w:type="character" w:customStyle="1" w:styleId="FooterChar">
    <w:name w:val="Footer Char"/>
    <w:basedOn w:val="DefaultParagraphFont"/>
    <w:link w:val="Footer"/>
    <w:uiPriority w:val="99"/>
    <w:rsid w:val="000D7247"/>
  </w:style>
  <w:style w:type="character" w:customStyle="1" w:styleId="Heading1Char">
    <w:name w:val="Heading 1 Char"/>
    <w:basedOn w:val="DefaultParagraphFont"/>
    <w:link w:val="Heading1"/>
    <w:uiPriority w:val="9"/>
    <w:rsid w:val="006325D9"/>
    <w:rPr>
      <w:rFonts w:ascii="Times New Roman" w:eastAsia="Times New Roman" w:hAnsi="Times New Roman" w:cs="Times New Roman"/>
      <w:b/>
      <w:bCs/>
      <w:kern w:val="36"/>
      <w:sz w:val="48"/>
      <w:szCs w:val="48"/>
      <w:lang w:eastAsia="en-GB"/>
    </w:rPr>
  </w:style>
  <w:style w:type="paragraph" w:customStyle="1" w:styleId="xxxxmsonormal">
    <w:name w:val="x_xxxmsonormal"/>
    <w:basedOn w:val="Normal"/>
    <w:rsid w:val="0004124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6F797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B91D08"/>
    <w:rPr>
      <w:color w:val="954F72" w:themeColor="followedHyperlink"/>
      <w:u w:val="single"/>
    </w:rPr>
  </w:style>
  <w:style w:type="paragraph" w:customStyle="1" w:styleId="xxxmsonormal">
    <w:name w:val="x_xxmsonormal"/>
    <w:basedOn w:val="Normal"/>
    <w:rsid w:val="008958FA"/>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14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DCB"/>
    <w:rPr>
      <w:rFonts w:ascii="Segoe UI" w:hAnsi="Segoe UI" w:cs="Segoe UI"/>
      <w:sz w:val="18"/>
      <w:szCs w:val="18"/>
    </w:rPr>
  </w:style>
  <w:style w:type="paragraph" w:customStyle="1" w:styleId="xmsonormal">
    <w:name w:val="x_msonormal"/>
    <w:basedOn w:val="Normal"/>
    <w:rsid w:val="006C7179"/>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msonormal">
    <w:name w:val="x_xmsonormal"/>
    <w:basedOn w:val="Normal"/>
    <w:rsid w:val="00126B5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msonormal0">
    <w:name w:val="x_x_x_msonormal"/>
    <w:basedOn w:val="Normal"/>
    <w:rsid w:val="00AC1EB7"/>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xxxxxxxxxmsonormal">
    <w:name w:val="x_xxxxxxxxxxxxxmsonormal"/>
    <w:basedOn w:val="Normal"/>
    <w:rsid w:val="001E5B3A"/>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rsid w:val="002E6316"/>
    <w:pPr>
      <w:jc w:val="left"/>
    </w:pPr>
  </w:style>
  <w:style w:type="character" w:styleId="Strong">
    <w:name w:val="Strong"/>
    <w:basedOn w:val="DefaultParagraphFont"/>
    <w:uiPriority w:val="22"/>
    <w:qFormat/>
    <w:rsid w:val="00D33B27"/>
    <w:rPr>
      <w:b/>
      <w:bCs/>
    </w:rPr>
  </w:style>
  <w:style w:type="paragraph" w:customStyle="1" w:styleId="xxmsonormal0">
    <w:name w:val="x_x_msonormal"/>
    <w:basedOn w:val="Normal"/>
    <w:rsid w:val="0076606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msonormal">
    <w:name w:val="x_x_xxxmsonormal"/>
    <w:basedOn w:val="Normal"/>
    <w:rsid w:val="009858D6"/>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paragraph">
    <w:name w:val="x_paragraph"/>
    <w:basedOn w:val="Normal"/>
    <w:rsid w:val="00004F6D"/>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04F6D"/>
  </w:style>
  <w:style w:type="character" w:customStyle="1" w:styleId="Heading2Char">
    <w:name w:val="Heading 2 Char"/>
    <w:basedOn w:val="DefaultParagraphFont"/>
    <w:link w:val="Heading2"/>
    <w:uiPriority w:val="9"/>
    <w:rsid w:val="002D2BA4"/>
    <w:rPr>
      <w:rFonts w:asciiTheme="majorHAnsi" w:eastAsiaTheme="majorEastAsia" w:hAnsiTheme="majorHAnsi" w:cstheme="majorBidi"/>
      <w:color w:val="2F5496" w:themeColor="accent1" w:themeShade="BF"/>
      <w:sz w:val="26"/>
      <w:szCs w:val="26"/>
    </w:rPr>
  </w:style>
  <w:style w:type="character" w:customStyle="1" w:styleId="xnone">
    <w:name w:val="x_none"/>
    <w:basedOn w:val="DefaultParagraphFont"/>
    <w:rsid w:val="006F0C4C"/>
  </w:style>
  <w:style w:type="character" w:customStyle="1" w:styleId="Title3">
    <w:name w:val="Title3"/>
    <w:basedOn w:val="DefaultParagraphFont"/>
    <w:rsid w:val="002605F5"/>
  </w:style>
  <w:style w:type="paragraph" w:customStyle="1" w:styleId="xmsolistparagraph">
    <w:name w:val="x_msolistparagraph"/>
    <w:basedOn w:val="Normal"/>
    <w:rsid w:val="00CD6BA7"/>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markwsa20lk3p">
    <w:name w:val="markwsa20lk3p"/>
    <w:basedOn w:val="DefaultParagraphFont"/>
    <w:rsid w:val="00295907"/>
  </w:style>
  <w:style w:type="paragraph" w:styleId="Revision">
    <w:name w:val="Revision"/>
    <w:hidden/>
    <w:uiPriority w:val="99"/>
    <w:semiHidden/>
    <w:rsid w:val="007D13EA"/>
    <w:pPr>
      <w:jc w:val="left"/>
    </w:pPr>
  </w:style>
  <w:style w:type="paragraph" w:customStyle="1" w:styleId="paragraph">
    <w:name w:val="paragraph"/>
    <w:basedOn w:val="Normal"/>
    <w:rsid w:val="00ED21A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D21AC"/>
  </w:style>
  <w:style w:type="character" w:customStyle="1" w:styleId="eop">
    <w:name w:val="eop"/>
    <w:basedOn w:val="DefaultParagraphFont"/>
    <w:rsid w:val="00ED21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90018">
      <w:bodyDiv w:val="1"/>
      <w:marLeft w:val="0"/>
      <w:marRight w:val="0"/>
      <w:marTop w:val="0"/>
      <w:marBottom w:val="0"/>
      <w:divBdr>
        <w:top w:val="none" w:sz="0" w:space="0" w:color="auto"/>
        <w:left w:val="none" w:sz="0" w:space="0" w:color="auto"/>
        <w:bottom w:val="none" w:sz="0" w:space="0" w:color="auto"/>
        <w:right w:val="none" w:sz="0" w:space="0" w:color="auto"/>
      </w:divBdr>
    </w:div>
    <w:div w:id="101731912">
      <w:bodyDiv w:val="1"/>
      <w:marLeft w:val="0"/>
      <w:marRight w:val="0"/>
      <w:marTop w:val="0"/>
      <w:marBottom w:val="0"/>
      <w:divBdr>
        <w:top w:val="none" w:sz="0" w:space="0" w:color="auto"/>
        <w:left w:val="none" w:sz="0" w:space="0" w:color="auto"/>
        <w:bottom w:val="none" w:sz="0" w:space="0" w:color="auto"/>
        <w:right w:val="none" w:sz="0" w:space="0" w:color="auto"/>
      </w:divBdr>
      <w:divsChild>
        <w:div w:id="837617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91791">
              <w:marLeft w:val="0"/>
              <w:marRight w:val="0"/>
              <w:marTop w:val="0"/>
              <w:marBottom w:val="0"/>
              <w:divBdr>
                <w:top w:val="none" w:sz="0" w:space="0" w:color="auto"/>
                <w:left w:val="none" w:sz="0" w:space="0" w:color="auto"/>
                <w:bottom w:val="none" w:sz="0" w:space="0" w:color="auto"/>
                <w:right w:val="none" w:sz="0" w:space="0" w:color="auto"/>
              </w:divBdr>
              <w:divsChild>
                <w:div w:id="9065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187">
      <w:bodyDiv w:val="1"/>
      <w:marLeft w:val="0"/>
      <w:marRight w:val="0"/>
      <w:marTop w:val="0"/>
      <w:marBottom w:val="0"/>
      <w:divBdr>
        <w:top w:val="none" w:sz="0" w:space="0" w:color="auto"/>
        <w:left w:val="none" w:sz="0" w:space="0" w:color="auto"/>
        <w:bottom w:val="none" w:sz="0" w:space="0" w:color="auto"/>
        <w:right w:val="none" w:sz="0" w:space="0" w:color="auto"/>
      </w:divBdr>
      <w:divsChild>
        <w:div w:id="842932492">
          <w:marLeft w:val="0"/>
          <w:marRight w:val="0"/>
          <w:marTop w:val="0"/>
          <w:marBottom w:val="0"/>
          <w:divBdr>
            <w:top w:val="none" w:sz="0" w:space="0" w:color="auto"/>
            <w:left w:val="none" w:sz="0" w:space="0" w:color="auto"/>
            <w:bottom w:val="none" w:sz="0" w:space="0" w:color="auto"/>
            <w:right w:val="none" w:sz="0" w:space="0" w:color="auto"/>
          </w:divBdr>
        </w:div>
        <w:div w:id="1441410847">
          <w:marLeft w:val="0"/>
          <w:marRight w:val="0"/>
          <w:marTop w:val="0"/>
          <w:marBottom w:val="0"/>
          <w:divBdr>
            <w:top w:val="none" w:sz="0" w:space="0" w:color="auto"/>
            <w:left w:val="none" w:sz="0" w:space="0" w:color="auto"/>
            <w:bottom w:val="none" w:sz="0" w:space="0" w:color="auto"/>
            <w:right w:val="none" w:sz="0" w:space="0" w:color="auto"/>
          </w:divBdr>
        </w:div>
        <w:div w:id="1316641777">
          <w:marLeft w:val="0"/>
          <w:marRight w:val="0"/>
          <w:marTop w:val="0"/>
          <w:marBottom w:val="0"/>
          <w:divBdr>
            <w:top w:val="none" w:sz="0" w:space="0" w:color="auto"/>
            <w:left w:val="none" w:sz="0" w:space="0" w:color="auto"/>
            <w:bottom w:val="none" w:sz="0" w:space="0" w:color="auto"/>
            <w:right w:val="none" w:sz="0" w:space="0" w:color="auto"/>
          </w:divBdr>
        </w:div>
        <w:div w:id="1339456006">
          <w:marLeft w:val="0"/>
          <w:marRight w:val="0"/>
          <w:marTop w:val="0"/>
          <w:marBottom w:val="0"/>
          <w:divBdr>
            <w:top w:val="none" w:sz="0" w:space="0" w:color="auto"/>
            <w:left w:val="none" w:sz="0" w:space="0" w:color="auto"/>
            <w:bottom w:val="none" w:sz="0" w:space="0" w:color="auto"/>
            <w:right w:val="none" w:sz="0" w:space="0" w:color="auto"/>
          </w:divBdr>
        </w:div>
        <w:div w:id="1499005193">
          <w:marLeft w:val="0"/>
          <w:marRight w:val="0"/>
          <w:marTop w:val="0"/>
          <w:marBottom w:val="0"/>
          <w:divBdr>
            <w:top w:val="none" w:sz="0" w:space="0" w:color="auto"/>
            <w:left w:val="none" w:sz="0" w:space="0" w:color="auto"/>
            <w:bottom w:val="none" w:sz="0" w:space="0" w:color="auto"/>
            <w:right w:val="none" w:sz="0" w:space="0" w:color="auto"/>
          </w:divBdr>
        </w:div>
        <w:div w:id="1325933397">
          <w:marLeft w:val="0"/>
          <w:marRight w:val="0"/>
          <w:marTop w:val="0"/>
          <w:marBottom w:val="0"/>
          <w:divBdr>
            <w:top w:val="none" w:sz="0" w:space="0" w:color="auto"/>
            <w:left w:val="none" w:sz="0" w:space="0" w:color="auto"/>
            <w:bottom w:val="none" w:sz="0" w:space="0" w:color="auto"/>
            <w:right w:val="none" w:sz="0" w:space="0" w:color="auto"/>
          </w:divBdr>
        </w:div>
        <w:div w:id="330642035">
          <w:marLeft w:val="0"/>
          <w:marRight w:val="0"/>
          <w:marTop w:val="0"/>
          <w:marBottom w:val="0"/>
          <w:divBdr>
            <w:top w:val="none" w:sz="0" w:space="0" w:color="auto"/>
            <w:left w:val="none" w:sz="0" w:space="0" w:color="auto"/>
            <w:bottom w:val="none" w:sz="0" w:space="0" w:color="auto"/>
            <w:right w:val="none" w:sz="0" w:space="0" w:color="auto"/>
          </w:divBdr>
        </w:div>
      </w:divsChild>
    </w:div>
    <w:div w:id="161743846">
      <w:bodyDiv w:val="1"/>
      <w:marLeft w:val="0"/>
      <w:marRight w:val="0"/>
      <w:marTop w:val="0"/>
      <w:marBottom w:val="0"/>
      <w:divBdr>
        <w:top w:val="none" w:sz="0" w:space="0" w:color="auto"/>
        <w:left w:val="none" w:sz="0" w:space="0" w:color="auto"/>
        <w:bottom w:val="none" w:sz="0" w:space="0" w:color="auto"/>
        <w:right w:val="none" w:sz="0" w:space="0" w:color="auto"/>
      </w:divBdr>
    </w:div>
    <w:div w:id="257451218">
      <w:bodyDiv w:val="1"/>
      <w:marLeft w:val="0"/>
      <w:marRight w:val="0"/>
      <w:marTop w:val="0"/>
      <w:marBottom w:val="0"/>
      <w:divBdr>
        <w:top w:val="none" w:sz="0" w:space="0" w:color="auto"/>
        <w:left w:val="none" w:sz="0" w:space="0" w:color="auto"/>
        <w:bottom w:val="none" w:sz="0" w:space="0" w:color="auto"/>
        <w:right w:val="none" w:sz="0" w:space="0" w:color="auto"/>
      </w:divBdr>
    </w:div>
    <w:div w:id="262032259">
      <w:bodyDiv w:val="1"/>
      <w:marLeft w:val="0"/>
      <w:marRight w:val="0"/>
      <w:marTop w:val="0"/>
      <w:marBottom w:val="0"/>
      <w:divBdr>
        <w:top w:val="none" w:sz="0" w:space="0" w:color="auto"/>
        <w:left w:val="none" w:sz="0" w:space="0" w:color="auto"/>
        <w:bottom w:val="none" w:sz="0" w:space="0" w:color="auto"/>
        <w:right w:val="none" w:sz="0" w:space="0" w:color="auto"/>
      </w:divBdr>
    </w:div>
    <w:div w:id="265767916">
      <w:bodyDiv w:val="1"/>
      <w:marLeft w:val="0"/>
      <w:marRight w:val="0"/>
      <w:marTop w:val="0"/>
      <w:marBottom w:val="0"/>
      <w:divBdr>
        <w:top w:val="none" w:sz="0" w:space="0" w:color="auto"/>
        <w:left w:val="none" w:sz="0" w:space="0" w:color="auto"/>
        <w:bottom w:val="none" w:sz="0" w:space="0" w:color="auto"/>
        <w:right w:val="none" w:sz="0" w:space="0" w:color="auto"/>
      </w:divBdr>
    </w:div>
    <w:div w:id="268663005">
      <w:bodyDiv w:val="1"/>
      <w:marLeft w:val="0"/>
      <w:marRight w:val="0"/>
      <w:marTop w:val="0"/>
      <w:marBottom w:val="0"/>
      <w:divBdr>
        <w:top w:val="none" w:sz="0" w:space="0" w:color="auto"/>
        <w:left w:val="none" w:sz="0" w:space="0" w:color="auto"/>
        <w:bottom w:val="none" w:sz="0" w:space="0" w:color="auto"/>
        <w:right w:val="none" w:sz="0" w:space="0" w:color="auto"/>
      </w:divBdr>
    </w:div>
    <w:div w:id="273489289">
      <w:bodyDiv w:val="1"/>
      <w:marLeft w:val="0"/>
      <w:marRight w:val="0"/>
      <w:marTop w:val="0"/>
      <w:marBottom w:val="0"/>
      <w:divBdr>
        <w:top w:val="none" w:sz="0" w:space="0" w:color="auto"/>
        <w:left w:val="none" w:sz="0" w:space="0" w:color="auto"/>
        <w:bottom w:val="none" w:sz="0" w:space="0" w:color="auto"/>
        <w:right w:val="none" w:sz="0" w:space="0" w:color="auto"/>
      </w:divBdr>
    </w:div>
    <w:div w:id="273749134">
      <w:bodyDiv w:val="1"/>
      <w:marLeft w:val="0"/>
      <w:marRight w:val="0"/>
      <w:marTop w:val="0"/>
      <w:marBottom w:val="0"/>
      <w:divBdr>
        <w:top w:val="none" w:sz="0" w:space="0" w:color="auto"/>
        <w:left w:val="none" w:sz="0" w:space="0" w:color="auto"/>
        <w:bottom w:val="none" w:sz="0" w:space="0" w:color="auto"/>
        <w:right w:val="none" w:sz="0" w:space="0" w:color="auto"/>
      </w:divBdr>
    </w:div>
    <w:div w:id="278879859">
      <w:bodyDiv w:val="1"/>
      <w:marLeft w:val="0"/>
      <w:marRight w:val="0"/>
      <w:marTop w:val="0"/>
      <w:marBottom w:val="0"/>
      <w:divBdr>
        <w:top w:val="none" w:sz="0" w:space="0" w:color="auto"/>
        <w:left w:val="none" w:sz="0" w:space="0" w:color="auto"/>
        <w:bottom w:val="none" w:sz="0" w:space="0" w:color="auto"/>
        <w:right w:val="none" w:sz="0" w:space="0" w:color="auto"/>
      </w:divBdr>
    </w:div>
    <w:div w:id="301616535">
      <w:bodyDiv w:val="1"/>
      <w:marLeft w:val="0"/>
      <w:marRight w:val="0"/>
      <w:marTop w:val="0"/>
      <w:marBottom w:val="0"/>
      <w:divBdr>
        <w:top w:val="none" w:sz="0" w:space="0" w:color="auto"/>
        <w:left w:val="none" w:sz="0" w:space="0" w:color="auto"/>
        <w:bottom w:val="none" w:sz="0" w:space="0" w:color="auto"/>
        <w:right w:val="none" w:sz="0" w:space="0" w:color="auto"/>
      </w:divBdr>
    </w:div>
    <w:div w:id="353044212">
      <w:bodyDiv w:val="1"/>
      <w:marLeft w:val="0"/>
      <w:marRight w:val="0"/>
      <w:marTop w:val="0"/>
      <w:marBottom w:val="0"/>
      <w:divBdr>
        <w:top w:val="none" w:sz="0" w:space="0" w:color="auto"/>
        <w:left w:val="none" w:sz="0" w:space="0" w:color="auto"/>
        <w:bottom w:val="none" w:sz="0" w:space="0" w:color="auto"/>
        <w:right w:val="none" w:sz="0" w:space="0" w:color="auto"/>
      </w:divBdr>
    </w:div>
    <w:div w:id="361053894">
      <w:bodyDiv w:val="1"/>
      <w:marLeft w:val="0"/>
      <w:marRight w:val="0"/>
      <w:marTop w:val="0"/>
      <w:marBottom w:val="0"/>
      <w:divBdr>
        <w:top w:val="none" w:sz="0" w:space="0" w:color="auto"/>
        <w:left w:val="none" w:sz="0" w:space="0" w:color="auto"/>
        <w:bottom w:val="none" w:sz="0" w:space="0" w:color="auto"/>
        <w:right w:val="none" w:sz="0" w:space="0" w:color="auto"/>
      </w:divBdr>
    </w:div>
    <w:div w:id="372779110">
      <w:bodyDiv w:val="1"/>
      <w:marLeft w:val="0"/>
      <w:marRight w:val="0"/>
      <w:marTop w:val="0"/>
      <w:marBottom w:val="0"/>
      <w:divBdr>
        <w:top w:val="none" w:sz="0" w:space="0" w:color="auto"/>
        <w:left w:val="none" w:sz="0" w:space="0" w:color="auto"/>
        <w:bottom w:val="none" w:sz="0" w:space="0" w:color="auto"/>
        <w:right w:val="none" w:sz="0" w:space="0" w:color="auto"/>
      </w:divBdr>
    </w:div>
    <w:div w:id="428085302">
      <w:bodyDiv w:val="1"/>
      <w:marLeft w:val="0"/>
      <w:marRight w:val="0"/>
      <w:marTop w:val="0"/>
      <w:marBottom w:val="0"/>
      <w:divBdr>
        <w:top w:val="none" w:sz="0" w:space="0" w:color="auto"/>
        <w:left w:val="none" w:sz="0" w:space="0" w:color="auto"/>
        <w:bottom w:val="none" w:sz="0" w:space="0" w:color="auto"/>
        <w:right w:val="none" w:sz="0" w:space="0" w:color="auto"/>
      </w:divBdr>
    </w:div>
    <w:div w:id="444350186">
      <w:bodyDiv w:val="1"/>
      <w:marLeft w:val="0"/>
      <w:marRight w:val="0"/>
      <w:marTop w:val="0"/>
      <w:marBottom w:val="0"/>
      <w:divBdr>
        <w:top w:val="none" w:sz="0" w:space="0" w:color="auto"/>
        <w:left w:val="none" w:sz="0" w:space="0" w:color="auto"/>
        <w:bottom w:val="none" w:sz="0" w:space="0" w:color="auto"/>
        <w:right w:val="none" w:sz="0" w:space="0" w:color="auto"/>
      </w:divBdr>
    </w:div>
    <w:div w:id="511191717">
      <w:bodyDiv w:val="1"/>
      <w:marLeft w:val="0"/>
      <w:marRight w:val="0"/>
      <w:marTop w:val="0"/>
      <w:marBottom w:val="0"/>
      <w:divBdr>
        <w:top w:val="none" w:sz="0" w:space="0" w:color="auto"/>
        <w:left w:val="none" w:sz="0" w:space="0" w:color="auto"/>
        <w:bottom w:val="none" w:sz="0" w:space="0" w:color="auto"/>
        <w:right w:val="none" w:sz="0" w:space="0" w:color="auto"/>
      </w:divBdr>
    </w:div>
    <w:div w:id="542332801">
      <w:bodyDiv w:val="1"/>
      <w:marLeft w:val="0"/>
      <w:marRight w:val="0"/>
      <w:marTop w:val="0"/>
      <w:marBottom w:val="0"/>
      <w:divBdr>
        <w:top w:val="none" w:sz="0" w:space="0" w:color="auto"/>
        <w:left w:val="none" w:sz="0" w:space="0" w:color="auto"/>
        <w:bottom w:val="none" w:sz="0" w:space="0" w:color="auto"/>
        <w:right w:val="none" w:sz="0" w:space="0" w:color="auto"/>
      </w:divBdr>
    </w:div>
    <w:div w:id="545063715">
      <w:bodyDiv w:val="1"/>
      <w:marLeft w:val="0"/>
      <w:marRight w:val="0"/>
      <w:marTop w:val="0"/>
      <w:marBottom w:val="0"/>
      <w:divBdr>
        <w:top w:val="none" w:sz="0" w:space="0" w:color="auto"/>
        <w:left w:val="none" w:sz="0" w:space="0" w:color="auto"/>
        <w:bottom w:val="none" w:sz="0" w:space="0" w:color="auto"/>
        <w:right w:val="none" w:sz="0" w:space="0" w:color="auto"/>
      </w:divBdr>
    </w:div>
    <w:div w:id="639073550">
      <w:bodyDiv w:val="1"/>
      <w:marLeft w:val="0"/>
      <w:marRight w:val="0"/>
      <w:marTop w:val="0"/>
      <w:marBottom w:val="0"/>
      <w:divBdr>
        <w:top w:val="none" w:sz="0" w:space="0" w:color="auto"/>
        <w:left w:val="none" w:sz="0" w:space="0" w:color="auto"/>
        <w:bottom w:val="none" w:sz="0" w:space="0" w:color="auto"/>
        <w:right w:val="none" w:sz="0" w:space="0" w:color="auto"/>
      </w:divBdr>
    </w:div>
    <w:div w:id="645471231">
      <w:bodyDiv w:val="1"/>
      <w:marLeft w:val="0"/>
      <w:marRight w:val="0"/>
      <w:marTop w:val="0"/>
      <w:marBottom w:val="0"/>
      <w:divBdr>
        <w:top w:val="none" w:sz="0" w:space="0" w:color="auto"/>
        <w:left w:val="none" w:sz="0" w:space="0" w:color="auto"/>
        <w:bottom w:val="none" w:sz="0" w:space="0" w:color="auto"/>
        <w:right w:val="none" w:sz="0" w:space="0" w:color="auto"/>
      </w:divBdr>
    </w:div>
    <w:div w:id="680008327">
      <w:bodyDiv w:val="1"/>
      <w:marLeft w:val="0"/>
      <w:marRight w:val="0"/>
      <w:marTop w:val="0"/>
      <w:marBottom w:val="0"/>
      <w:divBdr>
        <w:top w:val="none" w:sz="0" w:space="0" w:color="auto"/>
        <w:left w:val="none" w:sz="0" w:space="0" w:color="auto"/>
        <w:bottom w:val="none" w:sz="0" w:space="0" w:color="auto"/>
        <w:right w:val="none" w:sz="0" w:space="0" w:color="auto"/>
      </w:divBdr>
    </w:div>
    <w:div w:id="691107796">
      <w:bodyDiv w:val="1"/>
      <w:marLeft w:val="0"/>
      <w:marRight w:val="0"/>
      <w:marTop w:val="0"/>
      <w:marBottom w:val="0"/>
      <w:divBdr>
        <w:top w:val="none" w:sz="0" w:space="0" w:color="auto"/>
        <w:left w:val="none" w:sz="0" w:space="0" w:color="auto"/>
        <w:bottom w:val="none" w:sz="0" w:space="0" w:color="auto"/>
        <w:right w:val="none" w:sz="0" w:space="0" w:color="auto"/>
      </w:divBdr>
    </w:div>
    <w:div w:id="807632147">
      <w:bodyDiv w:val="1"/>
      <w:marLeft w:val="0"/>
      <w:marRight w:val="0"/>
      <w:marTop w:val="0"/>
      <w:marBottom w:val="0"/>
      <w:divBdr>
        <w:top w:val="none" w:sz="0" w:space="0" w:color="auto"/>
        <w:left w:val="none" w:sz="0" w:space="0" w:color="auto"/>
        <w:bottom w:val="none" w:sz="0" w:space="0" w:color="auto"/>
        <w:right w:val="none" w:sz="0" w:space="0" w:color="auto"/>
      </w:divBdr>
    </w:div>
    <w:div w:id="820658625">
      <w:bodyDiv w:val="1"/>
      <w:marLeft w:val="0"/>
      <w:marRight w:val="0"/>
      <w:marTop w:val="0"/>
      <w:marBottom w:val="0"/>
      <w:divBdr>
        <w:top w:val="none" w:sz="0" w:space="0" w:color="auto"/>
        <w:left w:val="none" w:sz="0" w:space="0" w:color="auto"/>
        <w:bottom w:val="none" w:sz="0" w:space="0" w:color="auto"/>
        <w:right w:val="none" w:sz="0" w:space="0" w:color="auto"/>
      </w:divBdr>
    </w:div>
    <w:div w:id="927496890">
      <w:bodyDiv w:val="1"/>
      <w:marLeft w:val="0"/>
      <w:marRight w:val="0"/>
      <w:marTop w:val="0"/>
      <w:marBottom w:val="0"/>
      <w:divBdr>
        <w:top w:val="none" w:sz="0" w:space="0" w:color="auto"/>
        <w:left w:val="none" w:sz="0" w:space="0" w:color="auto"/>
        <w:bottom w:val="none" w:sz="0" w:space="0" w:color="auto"/>
        <w:right w:val="none" w:sz="0" w:space="0" w:color="auto"/>
      </w:divBdr>
    </w:div>
    <w:div w:id="947657796">
      <w:bodyDiv w:val="1"/>
      <w:marLeft w:val="0"/>
      <w:marRight w:val="0"/>
      <w:marTop w:val="0"/>
      <w:marBottom w:val="0"/>
      <w:divBdr>
        <w:top w:val="none" w:sz="0" w:space="0" w:color="auto"/>
        <w:left w:val="none" w:sz="0" w:space="0" w:color="auto"/>
        <w:bottom w:val="none" w:sz="0" w:space="0" w:color="auto"/>
        <w:right w:val="none" w:sz="0" w:space="0" w:color="auto"/>
      </w:divBdr>
    </w:div>
    <w:div w:id="1026373557">
      <w:bodyDiv w:val="1"/>
      <w:marLeft w:val="0"/>
      <w:marRight w:val="0"/>
      <w:marTop w:val="0"/>
      <w:marBottom w:val="0"/>
      <w:divBdr>
        <w:top w:val="none" w:sz="0" w:space="0" w:color="auto"/>
        <w:left w:val="none" w:sz="0" w:space="0" w:color="auto"/>
        <w:bottom w:val="none" w:sz="0" w:space="0" w:color="auto"/>
        <w:right w:val="none" w:sz="0" w:space="0" w:color="auto"/>
      </w:divBdr>
    </w:div>
    <w:div w:id="1072848353">
      <w:bodyDiv w:val="1"/>
      <w:marLeft w:val="0"/>
      <w:marRight w:val="0"/>
      <w:marTop w:val="0"/>
      <w:marBottom w:val="0"/>
      <w:divBdr>
        <w:top w:val="none" w:sz="0" w:space="0" w:color="auto"/>
        <w:left w:val="none" w:sz="0" w:space="0" w:color="auto"/>
        <w:bottom w:val="none" w:sz="0" w:space="0" w:color="auto"/>
        <w:right w:val="none" w:sz="0" w:space="0" w:color="auto"/>
      </w:divBdr>
    </w:div>
    <w:div w:id="1189373598">
      <w:bodyDiv w:val="1"/>
      <w:marLeft w:val="0"/>
      <w:marRight w:val="0"/>
      <w:marTop w:val="0"/>
      <w:marBottom w:val="0"/>
      <w:divBdr>
        <w:top w:val="none" w:sz="0" w:space="0" w:color="auto"/>
        <w:left w:val="none" w:sz="0" w:space="0" w:color="auto"/>
        <w:bottom w:val="none" w:sz="0" w:space="0" w:color="auto"/>
        <w:right w:val="none" w:sz="0" w:space="0" w:color="auto"/>
      </w:divBdr>
    </w:div>
    <w:div w:id="1218516396">
      <w:bodyDiv w:val="1"/>
      <w:marLeft w:val="0"/>
      <w:marRight w:val="0"/>
      <w:marTop w:val="0"/>
      <w:marBottom w:val="0"/>
      <w:divBdr>
        <w:top w:val="none" w:sz="0" w:space="0" w:color="auto"/>
        <w:left w:val="none" w:sz="0" w:space="0" w:color="auto"/>
        <w:bottom w:val="none" w:sz="0" w:space="0" w:color="auto"/>
        <w:right w:val="none" w:sz="0" w:space="0" w:color="auto"/>
      </w:divBdr>
    </w:div>
    <w:div w:id="1228876241">
      <w:bodyDiv w:val="1"/>
      <w:marLeft w:val="0"/>
      <w:marRight w:val="0"/>
      <w:marTop w:val="0"/>
      <w:marBottom w:val="0"/>
      <w:divBdr>
        <w:top w:val="none" w:sz="0" w:space="0" w:color="auto"/>
        <w:left w:val="none" w:sz="0" w:space="0" w:color="auto"/>
        <w:bottom w:val="none" w:sz="0" w:space="0" w:color="auto"/>
        <w:right w:val="none" w:sz="0" w:space="0" w:color="auto"/>
      </w:divBdr>
    </w:div>
    <w:div w:id="1236360023">
      <w:bodyDiv w:val="1"/>
      <w:marLeft w:val="0"/>
      <w:marRight w:val="0"/>
      <w:marTop w:val="0"/>
      <w:marBottom w:val="0"/>
      <w:divBdr>
        <w:top w:val="none" w:sz="0" w:space="0" w:color="auto"/>
        <w:left w:val="none" w:sz="0" w:space="0" w:color="auto"/>
        <w:bottom w:val="none" w:sz="0" w:space="0" w:color="auto"/>
        <w:right w:val="none" w:sz="0" w:space="0" w:color="auto"/>
      </w:divBdr>
    </w:div>
    <w:div w:id="1243678871">
      <w:bodyDiv w:val="1"/>
      <w:marLeft w:val="0"/>
      <w:marRight w:val="0"/>
      <w:marTop w:val="0"/>
      <w:marBottom w:val="0"/>
      <w:divBdr>
        <w:top w:val="none" w:sz="0" w:space="0" w:color="auto"/>
        <w:left w:val="none" w:sz="0" w:space="0" w:color="auto"/>
        <w:bottom w:val="none" w:sz="0" w:space="0" w:color="auto"/>
        <w:right w:val="none" w:sz="0" w:space="0" w:color="auto"/>
      </w:divBdr>
    </w:div>
    <w:div w:id="1274903230">
      <w:bodyDiv w:val="1"/>
      <w:marLeft w:val="0"/>
      <w:marRight w:val="0"/>
      <w:marTop w:val="0"/>
      <w:marBottom w:val="0"/>
      <w:divBdr>
        <w:top w:val="none" w:sz="0" w:space="0" w:color="auto"/>
        <w:left w:val="none" w:sz="0" w:space="0" w:color="auto"/>
        <w:bottom w:val="none" w:sz="0" w:space="0" w:color="auto"/>
        <w:right w:val="none" w:sz="0" w:space="0" w:color="auto"/>
      </w:divBdr>
    </w:div>
    <w:div w:id="1361198744">
      <w:bodyDiv w:val="1"/>
      <w:marLeft w:val="0"/>
      <w:marRight w:val="0"/>
      <w:marTop w:val="0"/>
      <w:marBottom w:val="0"/>
      <w:divBdr>
        <w:top w:val="none" w:sz="0" w:space="0" w:color="auto"/>
        <w:left w:val="none" w:sz="0" w:space="0" w:color="auto"/>
        <w:bottom w:val="none" w:sz="0" w:space="0" w:color="auto"/>
        <w:right w:val="none" w:sz="0" w:space="0" w:color="auto"/>
      </w:divBdr>
    </w:div>
    <w:div w:id="1379821503">
      <w:bodyDiv w:val="1"/>
      <w:marLeft w:val="0"/>
      <w:marRight w:val="0"/>
      <w:marTop w:val="0"/>
      <w:marBottom w:val="0"/>
      <w:divBdr>
        <w:top w:val="none" w:sz="0" w:space="0" w:color="auto"/>
        <w:left w:val="none" w:sz="0" w:space="0" w:color="auto"/>
        <w:bottom w:val="none" w:sz="0" w:space="0" w:color="auto"/>
        <w:right w:val="none" w:sz="0" w:space="0" w:color="auto"/>
      </w:divBdr>
    </w:div>
    <w:div w:id="1387486202">
      <w:bodyDiv w:val="1"/>
      <w:marLeft w:val="0"/>
      <w:marRight w:val="0"/>
      <w:marTop w:val="0"/>
      <w:marBottom w:val="0"/>
      <w:divBdr>
        <w:top w:val="none" w:sz="0" w:space="0" w:color="auto"/>
        <w:left w:val="none" w:sz="0" w:space="0" w:color="auto"/>
        <w:bottom w:val="none" w:sz="0" w:space="0" w:color="auto"/>
        <w:right w:val="none" w:sz="0" w:space="0" w:color="auto"/>
      </w:divBdr>
    </w:div>
    <w:div w:id="1388532307">
      <w:bodyDiv w:val="1"/>
      <w:marLeft w:val="0"/>
      <w:marRight w:val="0"/>
      <w:marTop w:val="0"/>
      <w:marBottom w:val="0"/>
      <w:divBdr>
        <w:top w:val="none" w:sz="0" w:space="0" w:color="auto"/>
        <w:left w:val="none" w:sz="0" w:space="0" w:color="auto"/>
        <w:bottom w:val="none" w:sz="0" w:space="0" w:color="auto"/>
        <w:right w:val="none" w:sz="0" w:space="0" w:color="auto"/>
      </w:divBdr>
    </w:div>
    <w:div w:id="1418555693">
      <w:bodyDiv w:val="1"/>
      <w:marLeft w:val="0"/>
      <w:marRight w:val="0"/>
      <w:marTop w:val="0"/>
      <w:marBottom w:val="0"/>
      <w:divBdr>
        <w:top w:val="none" w:sz="0" w:space="0" w:color="auto"/>
        <w:left w:val="none" w:sz="0" w:space="0" w:color="auto"/>
        <w:bottom w:val="none" w:sz="0" w:space="0" w:color="auto"/>
        <w:right w:val="none" w:sz="0" w:space="0" w:color="auto"/>
      </w:divBdr>
    </w:div>
    <w:div w:id="1477917868">
      <w:bodyDiv w:val="1"/>
      <w:marLeft w:val="0"/>
      <w:marRight w:val="0"/>
      <w:marTop w:val="0"/>
      <w:marBottom w:val="0"/>
      <w:divBdr>
        <w:top w:val="none" w:sz="0" w:space="0" w:color="auto"/>
        <w:left w:val="none" w:sz="0" w:space="0" w:color="auto"/>
        <w:bottom w:val="none" w:sz="0" w:space="0" w:color="auto"/>
        <w:right w:val="none" w:sz="0" w:space="0" w:color="auto"/>
      </w:divBdr>
    </w:div>
    <w:div w:id="1520509560">
      <w:bodyDiv w:val="1"/>
      <w:marLeft w:val="0"/>
      <w:marRight w:val="0"/>
      <w:marTop w:val="0"/>
      <w:marBottom w:val="0"/>
      <w:divBdr>
        <w:top w:val="none" w:sz="0" w:space="0" w:color="auto"/>
        <w:left w:val="none" w:sz="0" w:space="0" w:color="auto"/>
        <w:bottom w:val="none" w:sz="0" w:space="0" w:color="auto"/>
        <w:right w:val="none" w:sz="0" w:space="0" w:color="auto"/>
      </w:divBdr>
    </w:div>
    <w:div w:id="1530024989">
      <w:bodyDiv w:val="1"/>
      <w:marLeft w:val="0"/>
      <w:marRight w:val="0"/>
      <w:marTop w:val="0"/>
      <w:marBottom w:val="0"/>
      <w:divBdr>
        <w:top w:val="none" w:sz="0" w:space="0" w:color="auto"/>
        <w:left w:val="none" w:sz="0" w:space="0" w:color="auto"/>
        <w:bottom w:val="none" w:sz="0" w:space="0" w:color="auto"/>
        <w:right w:val="none" w:sz="0" w:space="0" w:color="auto"/>
      </w:divBdr>
    </w:div>
    <w:div w:id="1551335350">
      <w:bodyDiv w:val="1"/>
      <w:marLeft w:val="0"/>
      <w:marRight w:val="0"/>
      <w:marTop w:val="0"/>
      <w:marBottom w:val="0"/>
      <w:divBdr>
        <w:top w:val="none" w:sz="0" w:space="0" w:color="auto"/>
        <w:left w:val="none" w:sz="0" w:space="0" w:color="auto"/>
        <w:bottom w:val="none" w:sz="0" w:space="0" w:color="auto"/>
        <w:right w:val="none" w:sz="0" w:space="0" w:color="auto"/>
      </w:divBdr>
    </w:div>
    <w:div w:id="1579287720">
      <w:bodyDiv w:val="1"/>
      <w:marLeft w:val="0"/>
      <w:marRight w:val="0"/>
      <w:marTop w:val="0"/>
      <w:marBottom w:val="0"/>
      <w:divBdr>
        <w:top w:val="none" w:sz="0" w:space="0" w:color="auto"/>
        <w:left w:val="none" w:sz="0" w:space="0" w:color="auto"/>
        <w:bottom w:val="none" w:sz="0" w:space="0" w:color="auto"/>
        <w:right w:val="none" w:sz="0" w:space="0" w:color="auto"/>
      </w:divBdr>
    </w:div>
    <w:div w:id="1588803058">
      <w:bodyDiv w:val="1"/>
      <w:marLeft w:val="0"/>
      <w:marRight w:val="0"/>
      <w:marTop w:val="0"/>
      <w:marBottom w:val="0"/>
      <w:divBdr>
        <w:top w:val="none" w:sz="0" w:space="0" w:color="auto"/>
        <w:left w:val="none" w:sz="0" w:space="0" w:color="auto"/>
        <w:bottom w:val="none" w:sz="0" w:space="0" w:color="auto"/>
        <w:right w:val="none" w:sz="0" w:space="0" w:color="auto"/>
      </w:divBdr>
    </w:div>
    <w:div w:id="1591936153">
      <w:bodyDiv w:val="1"/>
      <w:marLeft w:val="0"/>
      <w:marRight w:val="0"/>
      <w:marTop w:val="0"/>
      <w:marBottom w:val="0"/>
      <w:divBdr>
        <w:top w:val="none" w:sz="0" w:space="0" w:color="auto"/>
        <w:left w:val="none" w:sz="0" w:space="0" w:color="auto"/>
        <w:bottom w:val="none" w:sz="0" w:space="0" w:color="auto"/>
        <w:right w:val="none" w:sz="0" w:space="0" w:color="auto"/>
      </w:divBdr>
      <w:divsChild>
        <w:div w:id="1954241568">
          <w:marLeft w:val="0"/>
          <w:marRight w:val="0"/>
          <w:marTop w:val="0"/>
          <w:marBottom w:val="0"/>
          <w:divBdr>
            <w:top w:val="none" w:sz="0" w:space="0" w:color="auto"/>
            <w:left w:val="none" w:sz="0" w:space="0" w:color="auto"/>
            <w:bottom w:val="none" w:sz="0" w:space="0" w:color="auto"/>
            <w:right w:val="none" w:sz="0" w:space="0" w:color="auto"/>
          </w:divBdr>
        </w:div>
        <w:div w:id="1298678761">
          <w:marLeft w:val="0"/>
          <w:marRight w:val="0"/>
          <w:marTop w:val="0"/>
          <w:marBottom w:val="0"/>
          <w:divBdr>
            <w:top w:val="none" w:sz="0" w:space="0" w:color="auto"/>
            <w:left w:val="none" w:sz="0" w:space="0" w:color="auto"/>
            <w:bottom w:val="none" w:sz="0" w:space="0" w:color="auto"/>
            <w:right w:val="none" w:sz="0" w:space="0" w:color="auto"/>
          </w:divBdr>
        </w:div>
      </w:divsChild>
    </w:div>
    <w:div w:id="1640261650">
      <w:bodyDiv w:val="1"/>
      <w:marLeft w:val="0"/>
      <w:marRight w:val="0"/>
      <w:marTop w:val="0"/>
      <w:marBottom w:val="0"/>
      <w:divBdr>
        <w:top w:val="none" w:sz="0" w:space="0" w:color="auto"/>
        <w:left w:val="none" w:sz="0" w:space="0" w:color="auto"/>
        <w:bottom w:val="none" w:sz="0" w:space="0" w:color="auto"/>
        <w:right w:val="none" w:sz="0" w:space="0" w:color="auto"/>
      </w:divBdr>
    </w:div>
    <w:div w:id="1685815065">
      <w:bodyDiv w:val="1"/>
      <w:marLeft w:val="0"/>
      <w:marRight w:val="0"/>
      <w:marTop w:val="0"/>
      <w:marBottom w:val="0"/>
      <w:divBdr>
        <w:top w:val="none" w:sz="0" w:space="0" w:color="auto"/>
        <w:left w:val="none" w:sz="0" w:space="0" w:color="auto"/>
        <w:bottom w:val="none" w:sz="0" w:space="0" w:color="auto"/>
        <w:right w:val="none" w:sz="0" w:space="0" w:color="auto"/>
      </w:divBdr>
    </w:div>
    <w:div w:id="1705911133">
      <w:bodyDiv w:val="1"/>
      <w:marLeft w:val="0"/>
      <w:marRight w:val="0"/>
      <w:marTop w:val="0"/>
      <w:marBottom w:val="0"/>
      <w:divBdr>
        <w:top w:val="none" w:sz="0" w:space="0" w:color="auto"/>
        <w:left w:val="none" w:sz="0" w:space="0" w:color="auto"/>
        <w:bottom w:val="none" w:sz="0" w:space="0" w:color="auto"/>
        <w:right w:val="none" w:sz="0" w:space="0" w:color="auto"/>
      </w:divBdr>
    </w:div>
    <w:div w:id="1738504475">
      <w:bodyDiv w:val="1"/>
      <w:marLeft w:val="0"/>
      <w:marRight w:val="0"/>
      <w:marTop w:val="0"/>
      <w:marBottom w:val="0"/>
      <w:divBdr>
        <w:top w:val="none" w:sz="0" w:space="0" w:color="auto"/>
        <w:left w:val="none" w:sz="0" w:space="0" w:color="auto"/>
        <w:bottom w:val="none" w:sz="0" w:space="0" w:color="auto"/>
        <w:right w:val="none" w:sz="0" w:space="0" w:color="auto"/>
      </w:divBdr>
    </w:div>
    <w:div w:id="1746340509">
      <w:bodyDiv w:val="1"/>
      <w:marLeft w:val="0"/>
      <w:marRight w:val="0"/>
      <w:marTop w:val="0"/>
      <w:marBottom w:val="0"/>
      <w:divBdr>
        <w:top w:val="none" w:sz="0" w:space="0" w:color="auto"/>
        <w:left w:val="none" w:sz="0" w:space="0" w:color="auto"/>
        <w:bottom w:val="none" w:sz="0" w:space="0" w:color="auto"/>
        <w:right w:val="none" w:sz="0" w:space="0" w:color="auto"/>
      </w:divBdr>
    </w:div>
    <w:div w:id="1772512247">
      <w:bodyDiv w:val="1"/>
      <w:marLeft w:val="0"/>
      <w:marRight w:val="0"/>
      <w:marTop w:val="0"/>
      <w:marBottom w:val="0"/>
      <w:divBdr>
        <w:top w:val="none" w:sz="0" w:space="0" w:color="auto"/>
        <w:left w:val="none" w:sz="0" w:space="0" w:color="auto"/>
        <w:bottom w:val="none" w:sz="0" w:space="0" w:color="auto"/>
        <w:right w:val="none" w:sz="0" w:space="0" w:color="auto"/>
      </w:divBdr>
    </w:div>
    <w:div w:id="1773239624">
      <w:bodyDiv w:val="1"/>
      <w:marLeft w:val="0"/>
      <w:marRight w:val="0"/>
      <w:marTop w:val="0"/>
      <w:marBottom w:val="0"/>
      <w:divBdr>
        <w:top w:val="none" w:sz="0" w:space="0" w:color="auto"/>
        <w:left w:val="none" w:sz="0" w:space="0" w:color="auto"/>
        <w:bottom w:val="none" w:sz="0" w:space="0" w:color="auto"/>
        <w:right w:val="none" w:sz="0" w:space="0" w:color="auto"/>
      </w:divBdr>
    </w:div>
    <w:div w:id="1799178559">
      <w:bodyDiv w:val="1"/>
      <w:marLeft w:val="0"/>
      <w:marRight w:val="0"/>
      <w:marTop w:val="0"/>
      <w:marBottom w:val="0"/>
      <w:divBdr>
        <w:top w:val="none" w:sz="0" w:space="0" w:color="auto"/>
        <w:left w:val="none" w:sz="0" w:space="0" w:color="auto"/>
        <w:bottom w:val="none" w:sz="0" w:space="0" w:color="auto"/>
        <w:right w:val="none" w:sz="0" w:space="0" w:color="auto"/>
      </w:divBdr>
    </w:div>
    <w:div w:id="1831168357">
      <w:bodyDiv w:val="1"/>
      <w:marLeft w:val="0"/>
      <w:marRight w:val="0"/>
      <w:marTop w:val="0"/>
      <w:marBottom w:val="0"/>
      <w:divBdr>
        <w:top w:val="none" w:sz="0" w:space="0" w:color="auto"/>
        <w:left w:val="none" w:sz="0" w:space="0" w:color="auto"/>
        <w:bottom w:val="none" w:sz="0" w:space="0" w:color="auto"/>
        <w:right w:val="none" w:sz="0" w:space="0" w:color="auto"/>
      </w:divBdr>
    </w:div>
    <w:div w:id="1859074939">
      <w:bodyDiv w:val="1"/>
      <w:marLeft w:val="0"/>
      <w:marRight w:val="0"/>
      <w:marTop w:val="0"/>
      <w:marBottom w:val="0"/>
      <w:divBdr>
        <w:top w:val="none" w:sz="0" w:space="0" w:color="auto"/>
        <w:left w:val="none" w:sz="0" w:space="0" w:color="auto"/>
        <w:bottom w:val="none" w:sz="0" w:space="0" w:color="auto"/>
        <w:right w:val="none" w:sz="0" w:space="0" w:color="auto"/>
      </w:divBdr>
    </w:div>
    <w:div w:id="1895316513">
      <w:bodyDiv w:val="1"/>
      <w:marLeft w:val="0"/>
      <w:marRight w:val="0"/>
      <w:marTop w:val="0"/>
      <w:marBottom w:val="0"/>
      <w:divBdr>
        <w:top w:val="none" w:sz="0" w:space="0" w:color="auto"/>
        <w:left w:val="none" w:sz="0" w:space="0" w:color="auto"/>
        <w:bottom w:val="none" w:sz="0" w:space="0" w:color="auto"/>
        <w:right w:val="none" w:sz="0" w:space="0" w:color="auto"/>
      </w:divBdr>
    </w:div>
    <w:div w:id="1912231676">
      <w:bodyDiv w:val="1"/>
      <w:marLeft w:val="0"/>
      <w:marRight w:val="0"/>
      <w:marTop w:val="0"/>
      <w:marBottom w:val="0"/>
      <w:divBdr>
        <w:top w:val="none" w:sz="0" w:space="0" w:color="auto"/>
        <w:left w:val="none" w:sz="0" w:space="0" w:color="auto"/>
        <w:bottom w:val="none" w:sz="0" w:space="0" w:color="auto"/>
        <w:right w:val="none" w:sz="0" w:space="0" w:color="auto"/>
      </w:divBdr>
    </w:div>
    <w:div w:id="1915968121">
      <w:bodyDiv w:val="1"/>
      <w:marLeft w:val="0"/>
      <w:marRight w:val="0"/>
      <w:marTop w:val="0"/>
      <w:marBottom w:val="0"/>
      <w:divBdr>
        <w:top w:val="none" w:sz="0" w:space="0" w:color="auto"/>
        <w:left w:val="none" w:sz="0" w:space="0" w:color="auto"/>
        <w:bottom w:val="none" w:sz="0" w:space="0" w:color="auto"/>
        <w:right w:val="none" w:sz="0" w:space="0" w:color="auto"/>
      </w:divBdr>
    </w:div>
    <w:div w:id="1933510178">
      <w:bodyDiv w:val="1"/>
      <w:marLeft w:val="0"/>
      <w:marRight w:val="0"/>
      <w:marTop w:val="0"/>
      <w:marBottom w:val="0"/>
      <w:divBdr>
        <w:top w:val="none" w:sz="0" w:space="0" w:color="auto"/>
        <w:left w:val="none" w:sz="0" w:space="0" w:color="auto"/>
        <w:bottom w:val="none" w:sz="0" w:space="0" w:color="auto"/>
        <w:right w:val="none" w:sz="0" w:space="0" w:color="auto"/>
      </w:divBdr>
    </w:div>
    <w:div w:id="1975406145">
      <w:bodyDiv w:val="1"/>
      <w:marLeft w:val="0"/>
      <w:marRight w:val="0"/>
      <w:marTop w:val="0"/>
      <w:marBottom w:val="0"/>
      <w:divBdr>
        <w:top w:val="none" w:sz="0" w:space="0" w:color="auto"/>
        <w:left w:val="none" w:sz="0" w:space="0" w:color="auto"/>
        <w:bottom w:val="none" w:sz="0" w:space="0" w:color="auto"/>
        <w:right w:val="none" w:sz="0" w:space="0" w:color="auto"/>
      </w:divBdr>
    </w:div>
    <w:div w:id="2014915611">
      <w:bodyDiv w:val="1"/>
      <w:marLeft w:val="0"/>
      <w:marRight w:val="0"/>
      <w:marTop w:val="0"/>
      <w:marBottom w:val="0"/>
      <w:divBdr>
        <w:top w:val="none" w:sz="0" w:space="0" w:color="auto"/>
        <w:left w:val="none" w:sz="0" w:space="0" w:color="auto"/>
        <w:bottom w:val="none" w:sz="0" w:space="0" w:color="auto"/>
        <w:right w:val="none" w:sz="0" w:space="0" w:color="auto"/>
      </w:divBdr>
    </w:div>
    <w:div w:id="2026442864">
      <w:bodyDiv w:val="1"/>
      <w:marLeft w:val="0"/>
      <w:marRight w:val="0"/>
      <w:marTop w:val="0"/>
      <w:marBottom w:val="0"/>
      <w:divBdr>
        <w:top w:val="none" w:sz="0" w:space="0" w:color="auto"/>
        <w:left w:val="none" w:sz="0" w:space="0" w:color="auto"/>
        <w:bottom w:val="none" w:sz="0" w:space="0" w:color="auto"/>
        <w:right w:val="none" w:sz="0" w:space="0" w:color="auto"/>
      </w:divBdr>
    </w:div>
    <w:div w:id="2044017473">
      <w:bodyDiv w:val="1"/>
      <w:marLeft w:val="0"/>
      <w:marRight w:val="0"/>
      <w:marTop w:val="0"/>
      <w:marBottom w:val="0"/>
      <w:divBdr>
        <w:top w:val="none" w:sz="0" w:space="0" w:color="auto"/>
        <w:left w:val="none" w:sz="0" w:space="0" w:color="auto"/>
        <w:bottom w:val="none" w:sz="0" w:space="0" w:color="auto"/>
        <w:right w:val="none" w:sz="0" w:space="0" w:color="auto"/>
      </w:divBdr>
    </w:div>
    <w:div w:id="2054579311">
      <w:bodyDiv w:val="1"/>
      <w:marLeft w:val="0"/>
      <w:marRight w:val="0"/>
      <w:marTop w:val="0"/>
      <w:marBottom w:val="0"/>
      <w:divBdr>
        <w:top w:val="none" w:sz="0" w:space="0" w:color="auto"/>
        <w:left w:val="none" w:sz="0" w:space="0" w:color="auto"/>
        <w:bottom w:val="none" w:sz="0" w:space="0" w:color="auto"/>
        <w:right w:val="none" w:sz="0" w:space="0" w:color="auto"/>
      </w:divBdr>
    </w:div>
    <w:div w:id="211833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link.springer.com/article/10.1007/s13668-021-00383-z" TargetMode="External"/><Relationship Id="rId26" Type="http://schemas.openxmlformats.org/officeDocument/2006/relationships/hyperlink" Target="https://bmcmedicine.biomedcentral.com/articles/10.1186/s12916-022-02286-4"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yperlink" Target="mailto:j.a.mackie@qmul.ac.uk"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ahajournals.org/doi/abs/10.1161/HYPERTENSIONAHA.121.18475" TargetMode="External"/><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s://nutritionj.biomedcentral.com/articles/10.1186/s12937-022-00762-4" TargetMode="External"/><Relationship Id="rId31" Type="http://schemas.openxmlformats.org/officeDocument/2006/relationships/hyperlink" Target="https://www.actiononsalt.org.uk/awareness/salt-awareness-week-2022/" TargetMode="External"/><Relationship Id="rId4" Type="http://schemas.openxmlformats.org/officeDocument/2006/relationships/settings" Target="settings.xml"/><Relationship Id="rId9" Type="http://schemas.openxmlformats.org/officeDocument/2006/relationships/hyperlink" Target="https://content.iospress.com/articles/journal-of-parkinsons-disease/jpd213006" TargetMode="External"/><Relationship Id="rId14" Type="http://schemas.openxmlformats.org/officeDocument/2006/relationships/hyperlink" Target="https://www.bmj.com/content/376/bmj.o381"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FC2B1-6D0A-44AA-9DF2-71FA5A5C1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2293</Words>
  <Characters>13073</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bcc-user</dc:creator>
  <cp:keywords/>
  <dc:description/>
  <cp:lastModifiedBy>Naomi Turnbull</cp:lastModifiedBy>
  <cp:revision>2</cp:revision>
  <dcterms:created xsi:type="dcterms:W3CDTF">2022-05-11T13:30:00Z</dcterms:created>
  <dcterms:modified xsi:type="dcterms:W3CDTF">2022-05-11T13:30:00Z</dcterms:modified>
</cp:coreProperties>
</file>